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F9" w:rsidRDefault="000E75F9">
      <w:pPr>
        <w:tabs>
          <w:tab w:val="center" w:pos="4320"/>
        </w:tabs>
        <w:ind w:left="720" w:right="900"/>
        <w:jc w:val="center"/>
        <w:rPr>
          <w:rFonts w:cs="Times New Roman"/>
          <w:b/>
          <w:bCs/>
          <w:smallCaps/>
        </w:rPr>
      </w:pPr>
      <w:r>
        <w:rPr>
          <w:rFonts w:cs="Times New Roman"/>
          <w:b/>
          <w:bCs/>
          <w:smallCaps/>
        </w:rPr>
        <w:t xml:space="preserve">Multi-Donor Programmatic Trust Fund </w:t>
      </w:r>
    </w:p>
    <w:p w:rsidR="000E75F9" w:rsidRDefault="000E75F9">
      <w:pPr>
        <w:tabs>
          <w:tab w:val="center" w:pos="4320"/>
        </w:tabs>
        <w:ind w:left="720" w:right="900"/>
        <w:jc w:val="center"/>
        <w:rPr>
          <w:rFonts w:cs="Times New Roman"/>
          <w:sz w:val="28"/>
          <w:szCs w:val="28"/>
        </w:rPr>
      </w:pPr>
      <w:bookmarkStart w:id="0" w:name="OLE_LINK1"/>
      <w:bookmarkStart w:id="1" w:name="OLE_LINK2"/>
      <w:r>
        <w:rPr>
          <w:rFonts w:cs="Times New Roman"/>
          <w:b/>
          <w:bCs/>
          <w:smallCaps/>
        </w:rPr>
        <w:t xml:space="preserve">for Europe and Central Asia </w:t>
      </w:r>
      <w:r w:rsidR="00D43141">
        <w:rPr>
          <w:rFonts w:cs="Times New Roman"/>
          <w:b/>
          <w:bCs/>
          <w:smallCaps/>
        </w:rPr>
        <w:t>Region Capacity Development</w:t>
      </w:r>
      <w:r>
        <w:rPr>
          <w:rFonts w:cs="Times New Roman"/>
          <w:b/>
          <w:bCs/>
          <w:sz w:val="28"/>
          <w:szCs w:val="28"/>
        </w:rPr>
        <w:t xml:space="preserve"> </w:t>
      </w:r>
    </w:p>
    <w:p w:rsidR="000E75F9" w:rsidRDefault="000E75F9">
      <w:pPr>
        <w:jc w:val="center"/>
        <w:rPr>
          <w:rFonts w:cs="Times New Roman"/>
          <w:b/>
          <w:bCs/>
        </w:rPr>
      </w:pPr>
    </w:p>
    <w:bookmarkEnd w:id="0"/>
    <w:bookmarkEnd w:id="1"/>
    <w:p w:rsidR="000E75F9" w:rsidRDefault="000E75F9">
      <w:pPr>
        <w:rPr>
          <w:rFonts w:cs="Times New Roman"/>
          <w:b/>
          <w:bCs/>
        </w:rPr>
      </w:pPr>
    </w:p>
    <w:p w:rsidR="00D64C29" w:rsidRDefault="009C0F07">
      <w:pPr>
        <w:jc w:val="center"/>
        <w:rPr>
          <w:rFonts w:cs="Times New Roman"/>
          <w:b/>
          <w:bCs/>
          <w:smallCaps/>
          <w:sz w:val="28"/>
          <w:szCs w:val="28"/>
        </w:rPr>
      </w:pPr>
      <w:r>
        <w:rPr>
          <w:rFonts w:cs="Times New Roman"/>
          <w:b/>
          <w:bCs/>
          <w:smallCaps/>
          <w:sz w:val="28"/>
          <w:szCs w:val="28"/>
        </w:rPr>
        <w:t xml:space="preserve">Objectives, Criteria and Processing Steps for </w:t>
      </w:r>
    </w:p>
    <w:p w:rsidR="000E75F9" w:rsidRDefault="009C0F07">
      <w:pPr>
        <w:jc w:val="center"/>
        <w:rPr>
          <w:rFonts w:cs="Times New Roman"/>
          <w:b/>
          <w:bCs/>
          <w:smallCaps/>
          <w:sz w:val="28"/>
          <w:szCs w:val="28"/>
        </w:rPr>
      </w:pPr>
      <w:r>
        <w:rPr>
          <w:rFonts w:cs="Times New Roman"/>
          <w:b/>
          <w:bCs/>
          <w:smallCaps/>
          <w:sz w:val="28"/>
          <w:szCs w:val="28"/>
        </w:rPr>
        <w:t>Project Preparation Grants</w:t>
      </w:r>
    </w:p>
    <w:p w:rsidR="000E75F9" w:rsidRDefault="000E75F9">
      <w:pPr>
        <w:rPr>
          <w:rFonts w:cs="Times New Roman"/>
          <w:b/>
          <w:bCs/>
        </w:rPr>
      </w:pPr>
    </w:p>
    <w:p w:rsidR="000E75F9" w:rsidRPr="00716D9F" w:rsidRDefault="000E75F9" w:rsidP="00BA4AF7">
      <w:pPr>
        <w:rPr>
          <w:rFonts w:cs="Times New Roman"/>
          <w:b/>
          <w:bCs/>
          <w:color w:val="000000"/>
        </w:rPr>
      </w:pPr>
      <w:r w:rsidRPr="00716D9F">
        <w:rPr>
          <w:rFonts w:cs="Times New Roman"/>
          <w:b/>
          <w:bCs/>
          <w:color w:val="000000"/>
        </w:rPr>
        <w:t>Objectives</w:t>
      </w:r>
    </w:p>
    <w:p w:rsidR="001E5C64" w:rsidRPr="001E5C64" w:rsidRDefault="001E5C64" w:rsidP="001E5C64">
      <w:pPr>
        <w:spacing w:before="240"/>
        <w:rPr>
          <w:rFonts w:cs="Times New Roman"/>
        </w:rPr>
      </w:pPr>
      <w:r w:rsidRPr="001E5C64">
        <w:rPr>
          <w:rFonts w:cs="Times New Roman"/>
        </w:rPr>
        <w:t xml:space="preserve">The main objective of </w:t>
      </w:r>
      <w:r w:rsidR="007343F2">
        <w:rPr>
          <w:rFonts w:cs="Times New Roman"/>
        </w:rPr>
        <w:t xml:space="preserve">the </w:t>
      </w:r>
      <w:r w:rsidRPr="001E5C64">
        <w:rPr>
          <w:rFonts w:cs="Times New Roman"/>
        </w:rPr>
        <w:t xml:space="preserve">Europe and Central Asia (ECA) Region Capacity Development (ECAPDEV) Multi-Donor Trust Fund (MDTF) is to support improvements in the quality and speed of project preparation complemented by focused capacity development in </w:t>
      </w:r>
      <w:r w:rsidR="00B273D6">
        <w:rPr>
          <w:rFonts w:cs="Times New Roman"/>
        </w:rPr>
        <w:t xml:space="preserve">eligible </w:t>
      </w:r>
      <w:r w:rsidRPr="001E5C64">
        <w:rPr>
          <w:rFonts w:cs="Times New Roman"/>
        </w:rPr>
        <w:t>low</w:t>
      </w:r>
      <w:r w:rsidR="00B33AD9">
        <w:rPr>
          <w:rFonts w:cs="Times New Roman"/>
        </w:rPr>
        <w:t>er-income</w:t>
      </w:r>
      <w:r w:rsidRPr="001E5C64">
        <w:rPr>
          <w:rFonts w:cs="Times New Roman"/>
        </w:rPr>
        <w:t xml:space="preserve"> countries in the ECA Region. As the quality of project preparation is one of the key factors affecting </w:t>
      </w:r>
      <w:r w:rsidR="002E1F70">
        <w:rPr>
          <w:rFonts w:cs="Times New Roman"/>
        </w:rPr>
        <w:t>outcomes</w:t>
      </w:r>
      <w:r w:rsidRPr="001E5C64">
        <w:rPr>
          <w:rFonts w:cs="Times New Roman"/>
        </w:rPr>
        <w:t xml:space="preserve">, this </w:t>
      </w:r>
      <w:r w:rsidR="008845F8">
        <w:rPr>
          <w:rFonts w:cs="Times New Roman"/>
        </w:rPr>
        <w:t>Trust Fund (TF)</w:t>
      </w:r>
      <w:r w:rsidRPr="001E5C64">
        <w:rPr>
          <w:rFonts w:cs="Times New Roman"/>
        </w:rPr>
        <w:t xml:space="preserve"> will be an important tool to </w:t>
      </w:r>
      <w:r w:rsidR="007343F2">
        <w:rPr>
          <w:rFonts w:cs="Times New Roman"/>
        </w:rPr>
        <w:t>e</w:t>
      </w:r>
      <w:r w:rsidRPr="001E5C64">
        <w:rPr>
          <w:rFonts w:cs="Times New Roman"/>
        </w:rPr>
        <w:t xml:space="preserve">nhance </w:t>
      </w:r>
      <w:r w:rsidR="002E1F70">
        <w:rPr>
          <w:rFonts w:cs="Times New Roman"/>
        </w:rPr>
        <w:t xml:space="preserve">operational </w:t>
      </w:r>
      <w:r w:rsidRPr="001E5C64">
        <w:rPr>
          <w:rFonts w:cs="Times New Roman"/>
        </w:rPr>
        <w:t xml:space="preserve">quality. Hence, the </w:t>
      </w:r>
      <w:r w:rsidR="00352E71">
        <w:rPr>
          <w:rFonts w:cs="Times New Roman"/>
        </w:rPr>
        <w:t>ECAPDEV MDTF</w:t>
      </w:r>
      <w:r w:rsidRPr="001E5C64">
        <w:rPr>
          <w:rFonts w:cs="Times New Roman"/>
        </w:rPr>
        <w:t xml:space="preserve"> will ultimately help the lower-income countries in the ECA Region to strengthen their capacity</w:t>
      </w:r>
      <w:r w:rsidR="0024568A" w:rsidRPr="0024568A">
        <w:rPr>
          <w:rFonts w:cs="Times New Roman"/>
        </w:rPr>
        <w:t xml:space="preserve"> </w:t>
      </w:r>
      <w:r w:rsidR="0053522F">
        <w:rPr>
          <w:rFonts w:cs="Times New Roman"/>
        </w:rPr>
        <w:t xml:space="preserve">to </w:t>
      </w:r>
      <w:r w:rsidR="002E1F70">
        <w:rPr>
          <w:rFonts w:cs="Times New Roman"/>
        </w:rPr>
        <w:t xml:space="preserve">design and carry out </w:t>
      </w:r>
      <w:r w:rsidR="0053522F">
        <w:rPr>
          <w:rFonts w:cs="Times New Roman"/>
        </w:rPr>
        <w:t>their</w:t>
      </w:r>
      <w:r w:rsidR="0046580E">
        <w:rPr>
          <w:rFonts w:cs="Times New Roman"/>
        </w:rPr>
        <w:t xml:space="preserve"> investments</w:t>
      </w:r>
      <w:r w:rsidRPr="001E5C64">
        <w:rPr>
          <w:rFonts w:cs="Times New Roman"/>
        </w:rPr>
        <w:t>.</w:t>
      </w:r>
    </w:p>
    <w:p w:rsidR="0046580E" w:rsidRDefault="00792BB3" w:rsidP="00792BB3">
      <w:pPr>
        <w:tabs>
          <w:tab w:val="left" w:pos="9540"/>
        </w:tabs>
        <w:spacing w:before="240"/>
        <w:rPr>
          <w:rFonts w:cs="Times New Roman"/>
        </w:rPr>
      </w:pPr>
      <w:r w:rsidRPr="00792BB3">
        <w:rPr>
          <w:rFonts w:cs="Times New Roman"/>
        </w:rPr>
        <w:t>The Trust Fund is designed as a flexible source of financing for technical support to individual countries or groups of countries.</w:t>
      </w:r>
      <w:r w:rsidR="00835988">
        <w:rPr>
          <w:rFonts w:cs="Times New Roman"/>
        </w:rPr>
        <w:t xml:space="preserve"> </w:t>
      </w:r>
      <w:r w:rsidRPr="00792BB3">
        <w:rPr>
          <w:rFonts w:cs="Times New Roman"/>
        </w:rPr>
        <w:t>The initial amount of resources pledged to the Trust Fund by the Government of Russia is US</w:t>
      </w:r>
      <w:r w:rsidR="001434E8">
        <w:rPr>
          <w:rFonts w:cs="Times New Roman"/>
        </w:rPr>
        <w:t>$</w:t>
      </w:r>
      <w:r>
        <w:rPr>
          <w:rFonts w:cs="Times New Roman"/>
        </w:rPr>
        <w:t>23</w:t>
      </w:r>
      <w:r w:rsidR="00DB1176">
        <w:rPr>
          <w:rFonts w:cs="Times New Roman"/>
        </w:rPr>
        <w:t xml:space="preserve"> million</w:t>
      </w:r>
      <w:r w:rsidR="0053522F" w:rsidRPr="0053522F">
        <w:rPr>
          <w:rFonts w:cs="Times New Roman"/>
        </w:rPr>
        <w:t xml:space="preserve"> </w:t>
      </w:r>
      <w:r w:rsidR="0053522F">
        <w:rPr>
          <w:rFonts w:cs="Times New Roman"/>
        </w:rPr>
        <w:t>to be contributed in annual installments in accordance with the schedule in Annex 1</w:t>
      </w:r>
      <w:r w:rsidR="00DB1176">
        <w:rPr>
          <w:rFonts w:cs="Times New Roman"/>
        </w:rPr>
        <w:t>.</w:t>
      </w:r>
      <w:r w:rsidR="0053522F">
        <w:rPr>
          <w:rFonts w:cs="Times New Roman"/>
        </w:rPr>
        <w:t xml:space="preserve"> </w:t>
      </w:r>
      <w:r w:rsidRPr="00792BB3">
        <w:rPr>
          <w:rFonts w:cs="Times New Roman"/>
        </w:rPr>
        <w:t>The TF is being established as a Multi-Donor Trust Fund (MDTF), to provide an opportunity for other interested donors to join.</w:t>
      </w:r>
    </w:p>
    <w:p w:rsidR="000E75F9" w:rsidRDefault="000E75F9" w:rsidP="00BA4AF7">
      <w:pPr>
        <w:pStyle w:val="FootnoteText"/>
        <w:spacing w:before="240"/>
        <w:rPr>
          <w:rFonts w:cs="Times New Roman"/>
          <w:b/>
          <w:bCs/>
          <w:sz w:val="24"/>
          <w:szCs w:val="24"/>
        </w:rPr>
      </w:pPr>
      <w:r>
        <w:rPr>
          <w:rFonts w:cs="Times New Roman"/>
          <w:b/>
          <w:bCs/>
          <w:sz w:val="24"/>
          <w:szCs w:val="24"/>
        </w:rPr>
        <w:t xml:space="preserve">Focus </w:t>
      </w:r>
      <w:r w:rsidR="00873627">
        <w:rPr>
          <w:rFonts w:cs="Times New Roman"/>
          <w:b/>
          <w:bCs/>
          <w:sz w:val="24"/>
          <w:szCs w:val="24"/>
        </w:rPr>
        <w:t xml:space="preserve">of the </w:t>
      </w:r>
      <w:r w:rsidR="009C0F07">
        <w:rPr>
          <w:rFonts w:cs="Times New Roman"/>
          <w:b/>
          <w:bCs/>
          <w:sz w:val="24"/>
          <w:szCs w:val="24"/>
        </w:rPr>
        <w:t>Project Preparation Grants</w:t>
      </w:r>
      <w:r>
        <w:rPr>
          <w:rFonts w:cs="Times New Roman"/>
          <w:b/>
          <w:bCs/>
          <w:sz w:val="24"/>
          <w:szCs w:val="24"/>
        </w:rPr>
        <w:t xml:space="preserve"> </w:t>
      </w:r>
    </w:p>
    <w:p w:rsidR="007F1C01" w:rsidRDefault="000E75F9" w:rsidP="00BA4AF7">
      <w:pPr>
        <w:spacing w:before="240"/>
      </w:pPr>
      <w:r>
        <w:rPr>
          <w:rFonts w:cs="Times New Roman"/>
        </w:rPr>
        <w:t xml:space="preserve">The </w:t>
      </w:r>
      <w:r w:rsidR="00352E71">
        <w:rPr>
          <w:rFonts w:cs="Times New Roman"/>
        </w:rPr>
        <w:t>ECAPDEV MDTF</w:t>
      </w:r>
      <w:r w:rsidR="001E5C64">
        <w:rPr>
          <w:rFonts w:cs="Times New Roman"/>
        </w:rPr>
        <w:t xml:space="preserve"> </w:t>
      </w:r>
      <w:r>
        <w:rPr>
          <w:rFonts w:cs="Times New Roman"/>
        </w:rPr>
        <w:t xml:space="preserve">will support activities that contribute to </w:t>
      </w:r>
      <w:r w:rsidR="00792BB3">
        <w:rPr>
          <w:rFonts w:cs="Times New Roman"/>
        </w:rPr>
        <w:t xml:space="preserve">quality </w:t>
      </w:r>
      <w:r>
        <w:rPr>
          <w:rFonts w:cs="Times New Roman"/>
        </w:rPr>
        <w:t xml:space="preserve">improvements in </w:t>
      </w:r>
      <w:r w:rsidR="001A1457">
        <w:rPr>
          <w:rFonts w:cs="Times New Roman"/>
        </w:rPr>
        <w:t xml:space="preserve">project preparation </w:t>
      </w:r>
      <w:r w:rsidR="001E5C64">
        <w:rPr>
          <w:rFonts w:cs="Times New Roman"/>
        </w:rPr>
        <w:t xml:space="preserve">and implementation </w:t>
      </w:r>
      <w:r w:rsidR="001A1457">
        <w:rPr>
          <w:rFonts w:cs="Times New Roman"/>
        </w:rPr>
        <w:t>capacity.</w:t>
      </w:r>
      <w:r w:rsidR="00BA4AF7" w:rsidRPr="00BA4AF7">
        <w:rPr>
          <w:rFonts w:cs="Times New Roman"/>
        </w:rPr>
        <w:t xml:space="preserve"> </w:t>
      </w:r>
      <w:r w:rsidR="009C0F07">
        <w:rPr>
          <w:rFonts w:cs="Times New Roman"/>
        </w:rPr>
        <w:t xml:space="preserve">Under the </w:t>
      </w:r>
      <w:r w:rsidR="00BA4AF7" w:rsidRPr="00BA4AF7">
        <w:rPr>
          <w:rFonts w:cs="Times New Roman"/>
        </w:rPr>
        <w:t>Project Preparation Grant</w:t>
      </w:r>
      <w:r w:rsidR="00547E9A">
        <w:rPr>
          <w:rFonts w:cs="Times New Roman"/>
        </w:rPr>
        <w:t>s</w:t>
      </w:r>
      <w:r w:rsidR="009C0F07">
        <w:rPr>
          <w:rFonts w:cs="Times New Roman"/>
        </w:rPr>
        <w:t xml:space="preserve"> component of the ECAPDEV MDTF</w:t>
      </w:r>
      <w:r w:rsidR="001A1457">
        <w:t xml:space="preserve"> grant support </w:t>
      </w:r>
      <w:r w:rsidR="009C0F07">
        <w:t>will have to be</w:t>
      </w:r>
      <w:r w:rsidR="001A1457">
        <w:t xml:space="preserve"> consistent with the development priorities of </w:t>
      </w:r>
      <w:r w:rsidR="001E5C64">
        <w:t xml:space="preserve">recipient </w:t>
      </w:r>
      <w:r w:rsidR="001A1457">
        <w:t xml:space="preserve">countries and agreed </w:t>
      </w:r>
      <w:r w:rsidR="001E5C64">
        <w:t>Bank</w:t>
      </w:r>
      <w:r w:rsidR="001A1457">
        <w:t xml:space="preserve"> Country Assistance Strategies</w:t>
      </w:r>
      <w:r w:rsidR="00547E9A">
        <w:t xml:space="preserve"> (as set out in the grant selection criteria as specified below)</w:t>
      </w:r>
      <w:r w:rsidR="007F1C01">
        <w:t>.</w:t>
      </w:r>
    </w:p>
    <w:p w:rsidR="000E75F9" w:rsidRPr="00873627" w:rsidRDefault="001A1457" w:rsidP="001B5A6B">
      <w:pPr>
        <w:spacing w:before="240"/>
      </w:pPr>
      <w:r>
        <w:t>Grants</w:t>
      </w:r>
      <w:r w:rsidR="00F03F1E">
        <w:t xml:space="preserve"> </w:t>
      </w:r>
      <w:r>
        <w:t xml:space="preserve">may be used for preparation of </w:t>
      </w:r>
      <w:r w:rsidR="001E5C64">
        <w:t xml:space="preserve">operations proposed to be financed by </w:t>
      </w:r>
      <w:r>
        <w:t>any IBRD loan, IDA credit or IDA grant</w:t>
      </w:r>
      <w:r w:rsidR="00215DAF">
        <w:t xml:space="preserve">, or </w:t>
      </w:r>
      <w:r w:rsidR="006A6466" w:rsidRPr="006A6466">
        <w:t>the Eurasian Economic Community (</w:t>
      </w:r>
      <w:r w:rsidR="00215DAF" w:rsidRPr="00215DAF">
        <w:t>EurAsEc</w:t>
      </w:r>
      <w:r w:rsidR="006A6466">
        <w:t>)</w:t>
      </w:r>
      <w:r w:rsidR="00215DAF" w:rsidRPr="00215DAF">
        <w:t xml:space="preserve"> Anti-Crisis Fund</w:t>
      </w:r>
      <w:r w:rsidR="00215DAF">
        <w:t xml:space="preserve"> </w:t>
      </w:r>
      <w:r w:rsidR="00547E9A">
        <w:t xml:space="preserve">(ACF) </w:t>
      </w:r>
      <w:r w:rsidR="00215DAF">
        <w:t>financ</w:t>
      </w:r>
      <w:r w:rsidR="001E5C64">
        <w:t>ing</w:t>
      </w:r>
      <w:r>
        <w:t>.</w:t>
      </w:r>
      <w:r w:rsidR="00364726">
        <w:t xml:space="preserve"> </w:t>
      </w:r>
      <w:r>
        <w:t>There would be no restrictions on the type of lending instrument or on the sectors to be supported, allowing potential recipients to determine themselves the areas where they are in greatest need of project preparation assistance.</w:t>
      </w:r>
      <w:r w:rsidR="00364726">
        <w:t xml:space="preserve"> </w:t>
      </w:r>
      <w:r w:rsidR="00215DAF">
        <w:t>For the latter, ACF</w:t>
      </w:r>
      <w:r>
        <w:t xml:space="preserve"> </w:t>
      </w:r>
      <w:r w:rsidR="00012959">
        <w:t xml:space="preserve">staff </w:t>
      </w:r>
      <w:r>
        <w:t xml:space="preserve">would have to justify </w:t>
      </w:r>
      <w:r w:rsidR="00012959">
        <w:t>their proposals</w:t>
      </w:r>
      <w:r>
        <w:t xml:space="preserve"> (inter alia) with </w:t>
      </w:r>
      <w:r w:rsidR="00AF2F50">
        <w:t xml:space="preserve">the </w:t>
      </w:r>
      <w:r w:rsidR="00215DAF">
        <w:t xml:space="preserve">same kind of </w:t>
      </w:r>
      <w:r>
        <w:t>evidence that</w:t>
      </w:r>
      <w:r w:rsidR="00215DAF">
        <w:t xml:space="preserve"> </w:t>
      </w:r>
      <w:r w:rsidR="00AF2F50">
        <w:t xml:space="preserve">a </w:t>
      </w:r>
      <w:r w:rsidR="007343F2">
        <w:t xml:space="preserve">World </w:t>
      </w:r>
      <w:r w:rsidR="001E5C64">
        <w:t xml:space="preserve">Bank </w:t>
      </w:r>
      <w:r w:rsidR="00AF2F50">
        <w:t>Task Team Leader (</w:t>
      </w:r>
      <w:r w:rsidR="00215DAF">
        <w:t>TTL</w:t>
      </w:r>
      <w:r w:rsidR="00AF2F50">
        <w:t>)</w:t>
      </w:r>
      <w:r w:rsidR="00215DAF">
        <w:t xml:space="preserve"> will use</w:t>
      </w:r>
      <w:r>
        <w:t>.</w:t>
      </w:r>
    </w:p>
    <w:p w:rsidR="000E75F9" w:rsidRDefault="000E75F9" w:rsidP="00AF2F50">
      <w:pPr>
        <w:pStyle w:val="FootnoteText"/>
        <w:spacing w:before="240"/>
        <w:rPr>
          <w:rFonts w:cs="Times New Roman"/>
          <w:b/>
          <w:bCs/>
          <w:sz w:val="24"/>
          <w:szCs w:val="24"/>
        </w:rPr>
      </w:pPr>
      <w:r>
        <w:rPr>
          <w:rFonts w:cs="Times New Roman"/>
          <w:sz w:val="24"/>
          <w:szCs w:val="24"/>
        </w:rPr>
        <w:t xml:space="preserve"> </w:t>
      </w:r>
      <w:r>
        <w:rPr>
          <w:rFonts w:cs="Times New Roman"/>
          <w:b/>
          <w:bCs/>
          <w:sz w:val="24"/>
          <w:szCs w:val="24"/>
        </w:rPr>
        <w:t>Activities Supported</w:t>
      </w:r>
      <w:r w:rsidR="009C0F07">
        <w:rPr>
          <w:rFonts w:cs="Times New Roman"/>
          <w:b/>
          <w:bCs/>
          <w:sz w:val="24"/>
          <w:szCs w:val="24"/>
        </w:rPr>
        <w:t xml:space="preserve"> by Project Preparation Grants</w:t>
      </w:r>
    </w:p>
    <w:p w:rsidR="00B33AD9" w:rsidRDefault="001A1457" w:rsidP="00942F6F">
      <w:pPr>
        <w:pStyle w:val="ListParagraph"/>
        <w:spacing w:before="240"/>
        <w:ind w:left="0"/>
        <w:rPr>
          <w:b/>
          <w:i/>
        </w:rPr>
      </w:pPr>
      <w:r w:rsidRPr="001A1457">
        <w:rPr>
          <w:rFonts w:cs="Times New Roman"/>
        </w:rPr>
        <w:t>Project Preparation Grants</w:t>
      </w:r>
      <w:r w:rsidR="003D30BA">
        <w:rPr>
          <w:rFonts w:cs="Times New Roman"/>
        </w:rPr>
        <w:t>,</w:t>
      </w:r>
      <w:r w:rsidR="00BA4AF7">
        <w:rPr>
          <w:rFonts w:cs="Times New Roman"/>
        </w:rPr>
        <w:t xml:space="preserve"> will be recipient</w:t>
      </w:r>
      <w:r w:rsidR="00DB281F">
        <w:rPr>
          <w:rFonts w:cs="Times New Roman"/>
        </w:rPr>
        <w:t>-executed</w:t>
      </w:r>
      <w:r w:rsidR="00547E9A">
        <w:rPr>
          <w:rFonts w:cs="Times New Roman"/>
        </w:rPr>
        <w:t>,</w:t>
      </w:r>
      <w:r w:rsidR="00E81346" w:rsidRPr="00E81346">
        <w:t xml:space="preserve"> </w:t>
      </w:r>
      <w:r w:rsidR="00E81346" w:rsidRPr="00E81346">
        <w:rPr>
          <w:rFonts w:cs="Times New Roman"/>
        </w:rPr>
        <w:t xml:space="preserve">normally by the agency </w:t>
      </w:r>
      <w:r w:rsidR="001E5C64">
        <w:rPr>
          <w:rFonts w:cs="Times New Roman"/>
        </w:rPr>
        <w:t>that</w:t>
      </w:r>
      <w:r w:rsidR="001E5C64" w:rsidRPr="00E81346">
        <w:rPr>
          <w:rFonts w:cs="Times New Roman"/>
        </w:rPr>
        <w:t xml:space="preserve"> </w:t>
      </w:r>
      <w:r w:rsidR="00E81346" w:rsidRPr="00E81346">
        <w:rPr>
          <w:rFonts w:cs="Times New Roman"/>
        </w:rPr>
        <w:t xml:space="preserve">is expected to be implementing the planned </w:t>
      </w:r>
      <w:r w:rsidR="00871BE0">
        <w:rPr>
          <w:rFonts w:cs="Times New Roman"/>
        </w:rPr>
        <w:t>project wh</w:t>
      </w:r>
      <w:r w:rsidR="008A5A41">
        <w:rPr>
          <w:rFonts w:cs="Times New Roman"/>
        </w:rPr>
        <w:t>ose</w:t>
      </w:r>
      <w:r w:rsidR="00871BE0">
        <w:rPr>
          <w:rFonts w:cs="Times New Roman"/>
        </w:rPr>
        <w:t xml:space="preserve"> preparation the g</w:t>
      </w:r>
      <w:r w:rsidR="00E81346">
        <w:rPr>
          <w:rFonts w:cs="Times New Roman"/>
        </w:rPr>
        <w:t>rant will support</w:t>
      </w:r>
      <w:r w:rsidR="00E81346" w:rsidRPr="00E81346">
        <w:rPr>
          <w:rFonts w:cs="Times New Roman"/>
        </w:rPr>
        <w:t>.</w:t>
      </w:r>
      <w:r w:rsidR="00871BE0">
        <w:rPr>
          <w:rStyle w:val="FootnoteReference"/>
          <w:rFonts w:cs="Times New Roman"/>
        </w:rPr>
        <w:footnoteReference w:id="1"/>
      </w:r>
      <w:r w:rsidR="007F1C01">
        <w:rPr>
          <w:rFonts w:cs="Times New Roman"/>
        </w:rPr>
        <w:t xml:space="preserve"> </w:t>
      </w:r>
      <w:r w:rsidR="00E81346">
        <w:rPr>
          <w:rFonts w:cs="Times New Roman"/>
        </w:rPr>
        <w:t>They</w:t>
      </w:r>
      <w:r w:rsidR="00BA4AF7">
        <w:rPr>
          <w:rFonts w:cs="Times New Roman"/>
        </w:rPr>
        <w:t xml:space="preserve"> </w:t>
      </w:r>
      <w:r w:rsidR="00BA4AF7" w:rsidRPr="00DF7560">
        <w:t>will support project design work</w:t>
      </w:r>
      <w:r w:rsidR="00BA4AF7">
        <w:t xml:space="preserve"> and</w:t>
      </w:r>
      <w:r w:rsidR="00BA4AF7" w:rsidRPr="00DF7560">
        <w:t xml:space="preserve"> capacity building and training for project </w:t>
      </w:r>
      <w:r w:rsidR="00871BE0">
        <w:t xml:space="preserve">preparation and </w:t>
      </w:r>
      <w:r w:rsidR="00BA4AF7" w:rsidRPr="00DF7560">
        <w:t>implementation.</w:t>
      </w:r>
      <w:r w:rsidR="0053522F">
        <w:t xml:space="preserve"> </w:t>
      </w:r>
      <w:r w:rsidR="0053522F">
        <w:rPr>
          <w:rFonts w:cs="Times New Roman"/>
        </w:rPr>
        <w:t>Table 1 provides further details on the kinds of activities that may be funded by the program.</w:t>
      </w:r>
    </w:p>
    <w:p w:rsidR="009C0F07" w:rsidRDefault="009C0F07">
      <w:pPr>
        <w:autoSpaceDE/>
        <w:autoSpaceDN/>
        <w:rPr>
          <w:rFonts w:cs="Times New Roman"/>
          <w:b/>
          <w:i/>
        </w:rPr>
      </w:pPr>
      <w:r>
        <w:rPr>
          <w:rFonts w:cs="Times New Roman"/>
          <w:b/>
          <w:i/>
        </w:rPr>
        <w:br w:type="page"/>
      </w:r>
    </w:p>
    <w:p w:rsidR="00BD1B63" w:rsidRDefault="0053522F" w:rsidP="00B33AD9">
      <w:pPr>
        <w:keepNext/>
        <w:spacing w:before="240"/>
        <w:rPr>
          <w:rFonts w:cs="Times New Roman"/>
          <w:b/>
          <w:i/>
        </w:rPr>
      </w:pPr>
      <w:r>
        <w:rPr>
          <w:rFonts w:cs="Times New Roman"/>
          <w:b/>
          <w:i/>
        </w:rPr>
        <w:lastRenderedPageBreak/>
        <w:t xml:space="preserve">Table 1: </w:t>
      </w:r>
      <w:r w:rsidR="000E75F9" w:rsidRPr="007E2510">
        <w:rPr>
          <w:rFonts w:cs="Times New Roman"/>
          <w:b/>
          <w:i/>
        </w:rPr>
        <w:t xml:space="preserve">Activities and Funding </w:t>
      </w:r>
      <w:r w:rsidR="00693BEC">
        <w:rPr>
          <w:rFonts w:cs="Times New Roman"/>
          <w:b/>
          <w:i/>
        </w:rPr>
        <w:t>u</w:t>
      </w:r>
      <w:r w:rsidR="000E75F9" w:rsidRPr="007E2510">
        <w:rPr>
          <w:rFonts w:cs="Times New Roman"/>
          <w:b/>
          <w:i/>
        </w:rPr>
        <w:t xml:space="preserve">nder </w:t>
      </w:r>
      <w:r w:rsidR="009C0F07">
        <w:rPr>
          <w:rFonts w:cs="Times New Roman"/>
          <w:b/>
          <w:i/>
        </w:rPr>
        <w:t>Project Preparation Grants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6892"/>
      </w:tblGrid>
      <w:tr w:rsidR="001A1457" w:rsidTr="00E81346">
        <w:tc>
          <w:tcPr>
            <w:tcW w:w="2448" w:type="dxa"/>
          </w:tcPr>
          <w:p w:rsidR="001A1457" w:rsidRPr="00D22687" w:rsidRDefault="00D22687" w:rsidP="003E4E14">
            <w:pPr>
              <w:jc w:val="center"/>
              <w:rPr>
                <w:rFonts w:cs="Times New Roman"/>
                <w:b/>
              </w:rPr>
            </w:pPr>
            <w:r w:rsidRPr="00D22687">
              <w:rPr>
                <w:rFonts w:cs="Times New Roman"/>
                <w:b/>
              </w:rPr>
              <w:t>Components</w:t>
            </w:r>
          </w:p>
        </w:tc>
        <w:tc>
          <w:tcPr>
            <w:tcW w:w="6892" w:type="dxa"/>
          </w:tcPr>
          <w:p w:rsidR="001A1457" w:rsidRPr="00D22687" w:rsidRDefault="001A1457" w:rsidP="003E4E14">
            <w:pPr>
              <w:jc w:val="center"/>
              <w:rPr>
                <w:rFonts w:cs="Times New Roman"/>
                <w:b/>
                <w:bCs/>
              </w:rPr>
            </w:pPr>
            <w:r w:rsidRPr="00D22687">
              <w:rPr>
                <w:rFonts w:cs="Times New Roman"/>
                <w:b/>
                <w:bCs/>
              </w:rPr>
              <w:t>Activities</w:t>
            </w:r>
          </w:p>
          <w:p w:rsidR="001A1457" w:rsidRPr="00D22687" w:rsidRDefault="001A1457">
            <w:pPr>
              <w:rPr>
                <w:rFonts w:cs="Times New Roman"/>
                <w:b/>
              </w:rPr>
            </w:pPr>
          </w:p>
        </w:tc>
      </w:tr>
      <w:tr w:rsidR="001A1457" w:rsidTr="00E81346">
        <w:tc>
          <w:tcPr>
            <w:tcW w:w="2448" w:type="dxa"/>
          </w:tcPr>
          <w:p w:rsidR="001A1457" w:rsidRPr="00956AA3" w:rsidRDefault="003B03C3" w:rsidP="002900FF">
            <w:pPr>
              <w:rPr>
                <w:rFonts w:cs="Times New Roman"/>
                <w:bCs/>
              </w:rPr>
            </w:pPr>
            <w:r w:rsidRPr="003B03C3">
              <w:rPr>
                <w:rFonts w:cs="Times New Roman"/>
                <w:b/>
                <w:bCs/>
              </w:rPr>
              <w:t xml:space="preserve">Project Preparation Grants </w:t>
            </w:r>
            <w:r>
              <w:rPr>
                <w:rFonts w:cs="Times New Roman"/>
                <w:b/>
                <w:bCs/>
              </w:rPr>
              <w:t xml:space="preserve">- </w:t>
            </w:r>
            <w:r w:rsidR="001A1457" w:rsidRPr="001A1457">
              <w:rPr>
                <w:rFonts w:cs="Times New Roman"/>
                <w:b/>
                <w:bCs/>
              </w:rPr>
              <w:t>Recipient</w:t>
            </w:r>
            <w:r w:rsidR="00DB281F">
              <w:rPr>
                <w:rFonts w:cs="Times New Roman"/>
                <w:b/>
                <w:bCs/>
              </w:rPr>
              <w:t>-E</w:t>
            </w:r>
            <w:r w:rsidR="001A1457" w:rsidRPr="001A1457">
              <w:rPr>
                <w:rFonts w:cs="Times New Roman"/>
                <w:b/>
                <w:bCs/>
              </w:rPr>
              <w:t xml:space="preserve">xecuted </w:t>
            </w:r>
            <w:r w:rsidR="003D30BA" w:rsidRPr="003D30BA">
              <w:rPr>
                <w:rFonts w:cs="Times New Roman"/>
                <w:bCs/>
              </w:rPr>
              <w:t>(</w:t>
            </w:r>
            <w:r w:rsidR="009C0F07">
              <w:rPr>
                <w:rFonts w:cs="Times New Roman"/>
                <w:bCs/>
              </w:rPr>
              <w:t>Approximate a</w:t>
            </w:r>
            <w:r w:rsidR="003D30BA" w:rsidRPr="003D30BA">
              <w:rPr>
                <w:rFonts w:cs="Times New Roman"/>
                <w:bCs/>
              </w:rPr>
              <w:t xml:space="preserve">llocation </w:t>
            </w:r>
            <w:r w:rsidR="009C0F07">
              <w:rPr>
                <w:rFonts w:cs="Times New Roman"/>
                <w:bCs/>
              </w:rPr>
              <w:t>for first round</w:t>
            </w:r>
            <w:r w:rsidR="003D30BA" w:rsidRPr="003D30BA">
              <w:rPr>
                <w:rFonts w:cs="Times New Roman"/>
                <w:bCs/>
              </w:rPr>
              <w:t xml:space="preserve"> </w:t>
            </w:r>
            <w:r w:rsidR="002D7028">
              <w:rPr>
                <w:rFonts w:cs="Times New Roman"/>
                <w:bCs/>
              </w:rPr>
              <w:t>US$</w:t>
            </w:r>
            <w:r w:rsidR="002900FF">
              <w:rPr>
                <w:rFonts w:cs="Times New Roman"/>
                <w:bCs/>
              </w:rPr>
              <w:t>5</w:t>
            </w:r>
            <w:r w:rsidR="009C0F07">
              <w:rPr>
                <w:rFonts w:cs="Times New Roman"/>
                <w:bCs/>
              </w:rPr>
              <w:t>.</w:t>
            </w:r>
            <w:r w:rsidR="002900FF">
              <w:rPr>
                <w:rFonts w:cs="Times New Roman"/>
                <w:bCs/>
              </w:rPr>
              <w:t>0</w:t>
            </w:r>
            <w:r w:rsidR="003D30BA" w:rsidRPr="003D30BA">
              <w:rPr>
                <w:rFonts w:cs="Times New Roman"/>
                <w:bCs/>
              </w:rPr>
              <w:t xml:space="preserve"> million)</w:t>
            </w:r>
          </w:p>
        </w:tc>
        <w:tc>
          <w:tcPr>
            <w:tcW w:w="6892" w:type="dxa"/>
          </w:tcPr>
          <w:p w:rsidR="00FE6C8A" w:rsidRDefault="00FE6C8A" w:rsidP="00BA4AF7">
            <w:pPr>
              <w:adjustRightInd w:val="0"/>
              <w:ind w:left="720" w:hanging="360"/>
              <w:rPr>
                <w:color w:val="000000"/>
              </w:rPr>
            </w:pPr>
            <w:r w:rsidRPr="00FE6C8A">
              <w:rPr>
                <w:color w:val="000000"/>
              </w:rPr>
              <w:t>Provision of</w:t>
            </w:r>
            <w:r w:rsidR="00294D80">
              <w:rPr>
                <w:color w:val="000000"/>
              </w:rPr>
              <w:t xml:space="preserve"> competitively allocated</w:t>
            </w:r>
            <w:r w:rsidRPr="00FE6C8A">
              <w:rPr>
                <w:color w:val="000000"/>
              </w:rPr>
              <w:t xml:space="preserve"> grant</w:t>
            </w:r>
            <w:r>
              <w:rPr>
                <w:color w:val="000000"/>
              </w:rPr>
              <w:t>s to eligible ECA countries for</w:t>
            </w:r>
          </w:p>
          <w:p w:rsidR="001A1457" w:rsidRPr="001A1457" w:rsidRDefault="001A1457" w:rsidP="00BA4AF7">
            <w:pPr>
              <w:adjustRightInd w:val="0"/>
              <w:ind w:left="720" w:hanging="360"/>
              <w:rPr>
                <w:color w:val="000000"/>
              </w:rPr>
            </w:pPr>
            <w:r w:rsidRPr="001A1457">
              <w:rPr>
                <w:color w:val="000000"/>
              </w:rPr>
              <w:t>(a)</w:t>
            </w:r>
            <w:r w:rsidRPr="001A1457">
              <w:rPr>
                <w:color w:val="000000"/>
              </w:rPr>
              <w:tab/>
            </w:r>
            <w:r w:rsidR="00294D80">
              <w:rPr>
                <w:color w:val="000000"/>
              </w:rPr>
              <w:t>P</w:t>
            </w:r>
            <w:r w:rsidR="00294D80" w:rsidRPr="00741C01">
              <w:rPr>
                <w:color w:val="000000"/>
              </w:rPr>
              <w:t>reparation of development project</w:t>
            </w:r>
            <w:r w:rsidR="00294D80">
              <w:rPr>
                <w:color w:val="000000"/>
              </w:rPr>
              <w:t xml:space="preserve"> </w:t>
            </w:r>
            <w:r w:rsidR="00294D80" w:rsidRPr="00741C01">
              <w:rPr>
                <w:color w:val="000000"/>
              </w:rPr>
              <w:t>activities according to country development priorities</w:t>
            </w:r>
            <w:r w:rsidR="00294D80">
              <w:rPr>
                <w:color w:val="000000"/>
              </w:rPr>
              <w:t>. These could include</w:t>
            </w:r>
            <w:r w:rsidR="00294D80" w:rsidRPr="00741C01">
              <w:rPr>
                <w:color w:val="000000"/>
              </w:rPr>
              <w:t xml:space="preserve"> </w:t>
            </w:r>
            <w:r w:rsidR="00C00288" w:rsidRPr="00C00288">
              <w:rPr>
                <w:color w:val="000000"/>
              </w:rPr>
              <w:t xml:space="preserve">technical designs, </w:t>
            </w:r>
            <w:r w:rsidRPr="001A1457">
              <w:rPr>
                <w:color w:val="000000"/>
              </w:rPr>
              <w:t>results frameworks,</w:t>
            </w:r>
            <w:r w:rsidR="003655EC">
              <w:rPr>
                <w:color w:val="000000"/>
              </w:rPr>
              <w:t xml:space="preserve"> component</w:t>
            </w:r>
            <w:r w:rsidRPr="001A1457">
              <w:rPr>
                <w:color w:val="000000"/>
              </w:rPr>
              <w:t xml:space="preserve"> descriptions, operational manuals, social and environmental assessments</w:t>
            </w:r>
            <w:r w:rsidR="002E1F70">
              <w:rPr>
                <w:color w:val="000000"/>
              </w:rPr>
              <w:t>,</w:t>
            </w:r>
            <w:r w:rsidRPr="001A1457">
              <w:rPr>
                <w:color w:val="000000"/>
              </w:rPr>
              <w:t xml:space="preserve">  economic analysis, </w:t>
            </w:r>
            <w:r w:rsidR="001434E8">
              <w:rPr>
                <w:color w:val="000000"/>
              </w:rPr>
              <w:t xml:space="preserve">and </w:t>
            </w:r>
            <w:r w:rsidRPr="001A1457">
              <w:rPr>
                <w:color w:val="000000"/>
              </w:rPr>
              <w:t>consultations; and</w:t>
            </w:r>
          </w:p>
          <w:p w:rsidR="001A1457" w:rsidRPr="001A1457" w:rsidRDefault="001A1457" w:rsidP="00294D80">
            <w:pPr>
              <w:adjustRightInd w:val="0"/>
              <w:ind w:left="720" w:hanging="360"/>
              <w:rPr>
                <w:color w:val="000000"/>
              </w:rPr>
            </w:pPr>
            <w:r w:rsidRPr="001A1457">
              <w:rPr>
                <w:color w:val="000000"/>
              </w:rPr>
              <w:t>(b)</w:t>
            </w:r>
            <w:r w:rsidRPr="001A1457">
              <w:rPr>
                <w:color w:val="000000"/>
              </w:rPr>
              <w:tab/>
              <w:t xml:space="preserve"> </w:t>
            </w:r>
            <w:r w:rsidR="00FE6C8A">
              <w:rPr>
                <w:color w:val="000000"/>
              </w:rPr>
              <w:t>C</w:t>
            </w:r>
            <w:r w:rsidRPr="001A1457">
              <w:rPr>
                <w:color w:val="000000"/>
              </w:rPr>
              <w:t>apacity building and training for project implementation</w:t>
            </w:r>
            <w:r w:rsidR="00294D80">
              <w:rPr>
                <w:color w:val="000000"/>
              </w:rPr>
              <w:t xml:space="preserve">. These could include </w:t>
            </w:r>
            <w:r w:rsidR="00294D80" w:rsidRPr="00741C01">
              <w:rPr>
                <w:color w:val="000000"/>
              </w:rPr>
              <w:t xml:space="preserve">monitoring and managing contract implementation, </w:t>
            </w:r>
            <w:r w:rsidRPr="001A1457">
              <w:rPr>
                <w:color w:val="000000"/>
              </w:rPr>
              <w:t>procurement, financial management, M&amp;E</w:t>
            </w:r>
            <w:r w:rsidR="00294D80">
              <w:rPr>
                <w:color w:val="000000"/>
              </w:rPr>
              <w:t>,</w:t>
            </w:r>
            <w:r w:rsidR="00294D80" w:rsidRPr="00741C01">
              <w:rPr>
                <w:color w:val="000000"/>
              </w:rPr>
              <w:t xml:space="preserve"> study tours, workshops and seminars, travel within the ECA Region, and equipment essential to support the technical assistance. Such equipment would be limited to a maximum of 10 percent of the grant</w:t>
            </w:r>
            <w:r w:rsidRPr="001A1457">
              <w:rPr>
                <w:color w:val="000000"/>
              </w:rPr>
              <w:t>.</w:t>
            </w:r>
          </w:p>
        </w:tc>
      </w:tr>
    </w:tbl>
    <w:p w:rsidR="00127081" w:rsidRDefault="00925115" w:rsidP="00DF0E22">
      <w:pPr>
        <w:spacing w:before="240"/>
      </w:pPr>
      <w:r w:rsidRPr="00BF4C44">
        <w:rPr>
          <w:rFonts w:cs="Times New Roman"/>
        </w:rPr>
        <w:t xml:space="preserve">The main </w:t>
      </w:r>
      <w:r w:rsidR="008A5A41">
        <w:rPr>
          <w:rFonts w:cs="Times New Roman"/>
        </w:rPr>
        <w:t>aim</w:t>
      </w:r>
      <w:r w:rsidRPr="00BF4C44">
        <w:rPr>
          <w:rFonts w:cs="Times New Roman"/>
        </w:rPr>
        <w:t xml:space="preserve"> of </w:t>
      </w:r>
      <w:r w:rsidR="009C0F07">
        <w:rPr>
          <w:rFonts w:cs="Times New Roman"/>
        </w:rPr>
        <w:t>project preparation grants</w:t>
      </w:r>
      <w:r w:rsidR="002D7028" w:rsidRPr="00BF4C44">
        <w:rPr>
          <w:rFonts w:cs="Times New Roman"/>
        </w:rPr>
        <w:t xml:space="preserve"> </w:t>
      </w:r>
      <w:r w:rsidRPr="00BF4C44">
        <w:rPr>
          <w:rFonts w:cs="Times New Roman"/>
        </w:rPr>
        <w:t xml:space="preserve">will be </w:t>
      </w:r>
      <w:r w:rsidR="008A5A41">
        <w:rPr>
          <w:rFonts w:cs="Times New Roman"/>
        </w:rPr>
        <w:t>to</w:t>
      </w:r>
      <w:r w:rsidRPr="00BF4C44">
        <w:rPr>
          <w:rFonts w:cs="Times New Roman"/>
        </w:rPr>
        <w:t xml:space="preserve"> accelerat</w:t>
      </w:r>
      <w:r w:rsidR="008A5A41">
        <w:rPr>
          <w:rFonts w:cs="Times New Roman"/>
        </w:rPr>
        <w:t>e</w:t>
      </w:r>
      <w:r w:rsidRPr="00BF4C44">
        <w:rPr>
          <w:rFonts w:cs="Times New Roman"/>
        </w:rPr>
        <w:t xml:space="preserve"> and improv</w:t>
      </w:r>
      <w:r w:rsidR="008A5A41">
        <w:rPr>
          <w:rFonts w:cs="Times New Roman"/>
        </w:rPr>
        <w:t>e</w:t>
      </w:r>
      <w:r w:rsidRPr="00BF4C44">
        <w:rPr>
          <w:rFonts w:cs="Times New Roman"/>
        </w:rPr>
        <w:t xml:space="preserve"> the quality of the preparation</w:t>
      </w:r>
      <w:r w:rsidR="006A6466">
        <w:rPr>
          <w:rFonts w:cs="Times New Roman"/>
        </w:rPr>
        <w:t xml:space="preserve"> and implementation</w:t>
      </w:r>
      <w:r w:rsidRPr="00BF4C44">
        <w:rPr>
          <w:rFonts w:cs="Times New Roman"/>
        </w:rPr>
        <w:t xml:space="preserve"> of projects. </w:t>
      </w:r>
      <w:r w:rsidR="00CF370A">
        <w:rPr>
          <w:rFonts w:cs="Times New Roman"/>
        </w:rPr>
        <w:t>They</w:t>
      </w:r>
      <w:r w:rsidR="00CF370A" w:rsidRPr="00BF4C44">
        <w:rPr>
          <w:rFonts w:cs="Times New Roman"/>
        </w:rPr>
        <w:t xml:space="preserve"> </w:t>
      </w:r>
      <w:r w:rsidRPr="00BF4C44">
        <w:rPr>
          <w:rFonts w:cs="Times New Roman"/>
        </w:rPr>
        <w:t>will be complemented by increased Bank efforts to strengthen supervision of project prepar</w:t>
      </w:r>
      <w:r w:rsidRPr="00DF7560">
        <w:t>a</w:t>
      </w:r>
      <w:r w:rsidRPr="00BF4C44">
        <w:rPr>
          <w:rFonts w:cs="Times New Roman"/>
        </w:rPr>
        <w:t>tion</w:t>
      </w:r>
      <w:r w:rsidRPr="00DF7560">
        <w:t>.</w:t>
      </w:r>
      <w:r>
        <w:t xml:space="preserve"> </w:t>
      </w:r>
    </w:p>
    <w:p w:rsidR="000E75F9" w:rsidRDefault="000E75F9" w:rsidP="00BA4AF7">
      <w:pPr>
        <w:pStyle w:val="FootnoteText"/>
        <w:spacing w:before="240"/>
        <w:rPr>
          <w:rFonts w:cs="Times New Roman"/>
          <w:b/>
          <w:bCs/>
          <w:sz w:val="24"/>
          <w:szCs w:val="24"/>
        </w:rPr>
      </w:pPr>
      <w:r>
        <w:rPr>
          <w:rFonts w:cs="Times New Roman"/>
          <w:b/>
          <w:bCs/>
          <w:sz w:val="24"/>
          <w:szCs w:val="24"/>
        </w:rPr>
        <w:t>Eligible Countries</w:t>
      </w:r>
    </w:p>
    <w:p w:rsidR="009C0F07" w:rsidRDefault="001A1457" w:rsidP="00BA4AF7">
      <w:pPr>
        <w:spacing w:before="240"/>
      </w:pPr>
      <w:r>
        <w:t xml:space="preserve">The </w:t>
      </w:r>
      <w:r w:rsidR="003B03C3">
        <w:t>ECA</w:t>
      </w:r>
      <w:r>
        <w:t xml:space="preserve"> region includes a variety of countries that fall under different borrowing categories: IDA eligible, IDA/IBRD blend, </w:t>
      </w:r>
      <w:r w:rsidR="003825AB">
        <w:t xml:space="preserve">and </w:t>
      </w:r>
      <w:r>
        <w:t>IBRD</w:t>
      </w:r>
      <w:r w:rsidR="003825AB">
        <w:t xml:space="preserve"> only</w:t>
      </w:r>
      <w:r>
        <w:t>.</w:t>
      </w:r>
      <w:r w:rsidR="00364726">
        <w:t xml:space="preserve"> </w:t>
      </w:r>
      <w:r>
        <w:t xml:space="preserve">The </w:t>
      </w:r>
      <w:r w:rsidR="00A077DF">
        <w:t>TF</w:t>
      </w:r>
      <w:r>
        <w:t xml:space="preserve"> would consider only </w:t>
      </w:r>
      <w:r w:rsidRPr="000A52BD">
        <w:t>IDA</w:t>
      </w:r>
      <w:r w:rsidR="00127081">
        <w:t>, blend,</w:t>
      </w:r>
      <w:r w:rsidRPr="000A52BD">
        <w:t xml:space="preserve"> </w:t>
      </w:r>
      <w:r>
        <w:t xml:space="preserve">and </w:t>
      </w:r>
      <w:r w:rsidRPr="000A52BD">
        <w:t>IBRD Borrow</w:t>
      </w:r>
      <w:r w:rsidR="007053B9">
        <w:t>ing</w:t>
      </w:r>
      <w:r w:rsidRPr="000A52BD">
        <w:t xml:space="preserve"> </w:t>
      </w:r>
      <w:r>
        <w:t>countri</w:t>
      </w:r>
      <w:r w:rsidR="002D7028">
        <w:t xml:space="preserve">es with </w:t>
      </w:r>
      <w:r w:rsidR="00127081">
        <w:t xml:space="preserve">a 2010 </w:t>
      </w:r>
      <w:r w:rsidR="002D7028">
        <w:t xml:space="preserve">GNI per capita </w:t>
      </w:r>
      <w:r w:rsidR="00BD26B7">
        <w:t xml:space="preserve">of </w:t>
      </w:r>
      <w:r w:rsidR="002D7028">
        <w:t>US</w:t>
      </w:r>
      <w:r>
        <w:t>$4,00</w:t>
      </w:r>
      <w:r w:rsidR="00127081">
        <w:t>0</w:t>
      </w:r>
      <w:r w:rsidR="00EC7AA2">
        <w:rPr>
          <w:rStyle w:val="FootnoteReference"/>
        </w:rPr>
        <w:footnoteReference w:id="2"/>
      </w:r>
      <w:r w:rsidR="00127081">
        <w:t xml:space="preserve"> </w:t>
      </w:r>
      <w:r w:rsidR="005A0655">
        <w:t>or</w:t>
      </w:r>
      <w:r w:rsidR="00BD26B7">
        <w:t xml:space="preserve"> </w:t>
      </w:r>
      <w:r w:rsidR="00E1210C">
        <w:t xml:space="preserve">less </w:t>
      </w:r>
      <w:r>
        <w:t xml:space="preserve">as recipients of </w:t>
      </w:r>
      <w:r w:rsidR="005A0655">
        <w:t>TF</w:t>
      </w:r>
      <w:r>
        <w:t xml:space="preserve"> support</w:t>
      </w:r>
      <w:r w:rsidRPr="00E61FDA">
        <w:t xml:space="preserve">. </w:t>
      </w:r>
    </w:p>
    <w:p w:rsidR="001A1457" w:rsidRPr="006A0F8E" w:rsidRDefault="001A1457" w:rsidP="00BA4AF7">
      <w:pPr>
        <w:spacing w:before="240"/>
        <w:rPr>
          <w:b/>
          <w:u w:val="single"/>
        </w:rPr>
      </w:pPr>
      <w:r>
        <w:t xml:space="preserve">The </w:t>
      </w:r>
      <w:r w:rsidR="005C214A">
        <w:t xml:space="preserve">project preparation </w:t>
      </w:r>
      <w:r>
        <w:t>grants could also be used for preparation of regional operations. These would require a modified approval process</w:t>
      </w:r>
      <w:r w:rsidR="00BD26B7">
        <w:t xml:space="preserve"> (e.g., will require endorsement </w:t>
      </w:r>
      <w:r w:rsidR="00767F2F">
        <w:t>of</w:t>
      </w:r>
      <w:r w:rsidR="00BD26B7">
        <w:t xml:space="preserve"> country directors of </w:t>
      </w:r>
      <w:r w:rsidR="00E1210C">
        <w:t xml:space="preserve">all </w:t>
      </w:r>
      <w:r w:rsidR="00BD26B7">
        <w:t>countries that would benefit from the regional operations)</w:t>
      </w:r>
      <w:r>
        <w:t>, to be determined as appropriate if demand for support of such operations would emerge.</w:t>
      </w:r>
      <w:r w:rsidR="00364726">
        <w:t xml:space="preserve"> </w:t>
      </w:r>
      <w:r>
        <w:t xml:space="preserve">These grants will be eligible for execution either by the Bank or by regional international </w:t>
      </w:r>
      <w:r w:rsidR="00EC7AA2">
        <w:t xml:space="preserve">development agencies or </w:t>
      </w:r>
      <w:r>
        <w:t>coordination bodies (EurAsEc and others). To be eligible, a regional operation or project must include countries that are eligible for single-country project preparation grants.</w:t>
      </w:r>
      <w:r w:rsidR="00364726">
        <w:t xml:space="preserve"> </w:t>
      </w:r>
      <w:r w:rsidRPr="00E61FDA">
        <w:t xml:space="preserve">The </w:t>
      </w:r>
      <w:r w:rsidR="001E5C64">
        <w:t>Bank</w:t>
      </w:r>
      <w:r w:rsidRPr="00E61FDA">
        <w:t xml:space="preserve"> will make sure that</w:t>
      </w:r>
      <w:r w:rsidR="00364726">
        <w:t xml:space="preserve"> </w:t>
      </w:r>
      <w:r w:rsidRPr="00E61FDA">
        <w:t xml:space="preserve">the ownership of such activities </w:t>
      </w:r>
      <w:r w:rsidR="00BD26B7">
        <w:t>is</w:t>
      </w:r>
      <w:r w:rsidRPr="00E61FDA">
        <w:t xml:space="preserve"> clear and the implementation modality is feasible.</w:t>
      </w:r>
    </w:p>
    <w:p w:rsidR="000E75F9" w:rsidRDefault="000E75F9" w:rsidP="00BA4AF7">
      <w:pPr>
        <w:pStyle w:val="FootnoteText"/>
        <w:spacing w:before="240"/>
        <w:rPr>
          <w:rFonts w:cs="Times New Roman"/>
          <w:b/>
          <w:bCs/>
          <w:sz w:val="24"/>
          <w:szCs w:val="24"/>
        </w:rPr>
      </w:pPr>
      <w:r>
        <w:rPr>
          <w:rFonts w:cs="Times New Roman"/>
          <w:b/>
          <w:bCs/>
          <w:sz w:val="24"/>
          <w:szCs w:val="24"/>
        </w:rPr>
        <w:t>Grant Timeline and Funding</w:t>
      </w:r>
    </w:p>
    <w:p w:rsidR="007F1C01" w:rsidRDefault="00893509" w:rsidP="00893509">
      <w:pPr>
        <w:spacing w:before="240"/>
      </w:pPr>
      <w:r w:rsidRPr="00DF7560">
        <w:t xml:space="preserve">The </w:t>
      </w:r>
      <w:r w:rsidR="008C4988">
        <w:t xml:space="preserve">recipient-executed </w:t>
      </w:r>
      <w:r w:rsidR="00025CAE">
        <w:t xml:space="preserve">project preparation </w:t>
      </w:r>
      <w:r w:rsidRPr="00DF7560">
        <w:t>grant disbursement period</w:t>
      </w:r>
      <w:r w:rsidR="00767F2F">
        <w:t>s</w:t>
      </w:r>
      <w:r w:rsidRPr="00DF7560">
        <w:t xml:space="preserve"> will be set </w:t>
      </w:r>
      <w:r w:rsidR="00AC0742">
        <w:t xml:space="preserve">according to the expected time </w:t>
      </w:r>
      <w:r w:rsidR="008C4988">
        <w:t xml:space="preserve">required for </w:t>
      </w:r>
      <w:r w:rsidR="00767F2F">
        <w:t>each grant’s</w:t>
      </w:r>
      <w:r w:rsidR="00AC0742">
        <w:t xml:space="preserve"> implementation</w:t>
      </w:r>
      <w:r w:rsidRPr="00DF7560">
        <w:t>.</w:t>
      </w:r>
      <w:r>
        <w:t xml:space="preserve"> </w:t>
      </w:r>
      <w:r w:rsidR="00C570BD">
        <w:t>Project preparation g</w:t>
      </w:r>
      <w:r w:rsidR="00C570BD" w:rsidRPr="00DF7560">
        <w:t xml:space="preserve">rant </w:t>
      </w:r>
      <w:r w:rsidRPr="00DF7560">
        <w:t>activities should normally be complete</w:t>
      </w:r>
      <w:r w:rsidR="005A0655">
        <w:t>d</w:t>
      </w:r>
      <w:r w:rsidRPr="00DF7560">
        <w:t xml:space="preserve"> by the time </w:t>
      </w:r>
      <w:r w:rsidR="00C570BD">
        <w:t>the corresponding</w:t>
      </w:r>
      <w:r w:rsidR="00C570BD" w:rsidRPr="00DF7560">
        <w:t xml:space="preserve"> </w:t>
      </w:r>
      <w:r w:rsidRPr="00DF7560">
        <w:t xml:space="preserve">project is submitted to the Bank’s </w:t>
      </w:r>
      <w:r w:rsidR="00D22687">
        <w:t xml:space="preserve">or ACF’s </w:t>
      </w:r>
      <w:r w:rsidRPr="00DF7560">
        <w:t>Board of Executive Directors.</w:t>
      </w:r>
      <w:r>
        <w:t xml:space="preserve"> </w:t>
      </w:r>
      <w:r w:rsidRPr="00DF7560">
        <w:t>No new contracts may be signed after Board approval.</w:t>
      </w:r>
      <w:r>
        <w:t xml:space="preserve"> </w:t>
      </w:r>
      <w:r w:rsidRPr="00DF7560">
        <w:t>However if there are ongoing activities that have not been completed by the Board date these may continue for up to six months, or until the date of the operation’s effectiveness, whichever comes earlier</w:t>
      </w:r>
      <w:r w:rsidR="007F1C01">
        <w:t>.</w:t>
      </w:r>
    </w:p>
    <w:p w:rsidR="007F1C01" w:rsidRDefault="009C0F07" w:rsidP="00091BA3">
      <w:pPr>
        <w:spacing w:before="240"/>
        <w:rPr>
          <w:rFonts w:cs="Times New Roman"/>
        </w:rPr>
      </w:pPr>
      <w:r>
        <w:rPr>
          <w:rFonts w:cs="Times New Roman"/>
        </w:rPr>
        <w:lastRenderedPageBreak/>
        <w:t>R</w:t>
      </w:r>
      <w:r w:rsidR="000E75F9">
        <w:rPr>
          <w:rFonts w:cs="Times New Roman"/>
        </w:rPr>
        <w:t>ecipient</w:t>
      </w:r>
      <w:r w:rsidR="00DB281F">
        <w:rPr>
          <w:rFonts w:cs="Times New Roman"/>
        </w:rPr>
        <w:t>-executed</w:t>
      </w:r>
      <w:r>
        <w:rPr>
          <w:rFonts w:cs="Times New Roman"/>
        </w:rPr>
        <w:t xml:space="preserve"> grants for project preparation</w:t>
      </w:r>
      <w:r w:rsidR="000E75F9">
        <w:rPr>
          <w:rFonts w:cs="Times New Roman"/>
        </w:rPr>
        <w:t xml:space="preserve"> must be in the range of </w:t>
      </w:r>
      <w:r w:rsidR="002D7028">
        <w:rPr>
          <w:rFonts w:cs="Times New Roman"/>
        </w:rPr>
        <w:t>US$</w:t>
      </w:r>
      <w:r w:rsidR="000E75F9">
        <w:rPr>
          <w:rFonts w:cs="Times New Roman"/>
        </w:rPr>
        <w:t xml:space="preserve">100,000 to </w:t>
      </w:r>
      <w:r w:rsidR="002D7028">
        <w:rPr>
          <w:rFonts w:cs="Times New Roman"/>
        </w:rPr>
        <w:t>US$</w:t>
      </w:r>
      <w:r w:rsidR="00893509">
        <w:rPr>
          <w:rFonts w:cs="Times New Roman"/>
        </w:rPr>
        <w:t>700,000</w:t>
      </w:r>
      <w:r w:rsidR="000E75F9">
        <w:rPr>
          <w:rFonts w:cs="Times New Roman"/>
        </w:rPr>
        <w:t>.</w:t>
      </w:r>
      <w:r w:rsidR="00364726">
        <w:rPr>
          <w:rFonts w:cs="Times New Roman"/>
        </w:rPr>
        <w:t xml:space="preserve"> </w:t>
      </w:r>
      <w:r w:rsidR="00893509" w:rsidRPr="00893509">
        <w:rPr>
          <w:rFonts w:cs="Times New Roman"/>
        </w:rPr>
        <w:t xml:space="preserve">If some project preparation requirements exceed </w:t>
      </w:r>
      <w:r w:rsidR="00091BA3">
        <w:rPr>
          <w:rFonts w:cs="Times New Roman"/>
        </w:rPr>
        <w:t>US</w:t>
      </w:r>
      <w:r w:rsidR="00893509" w:rsidRPr="00893509">
        <w:rPr>
          <w:rFonts w:cs="Times New Roman"/>
        </w:rPr>
        <w:t>$700,000</w:t>
      </w:r>
      <w:r w:rsidR="00767F2F">
        <w:rPr>
          <w:rFonts w:cs="Times New Roman"/>
        </w:rPr>
        <w:t>,</w:t>
      </w:r>
      <w:r w:rsidR="00893509" w:rsidRPr="00893509">
        <w:rPr>
          <w:rFonts w:cs="Times New Roman"/>
        </w:rPr>
        <w:t xml:space="preserve"> co-financing may be sought from other donors</w:t>
      </w:r>
      <w:r w:rsidR="00091BA3">
        <w:rPr>
          <w:rFonts w:cs="Times New Roman"/>
        </w:rPr>
        <w:t xml:space="preserve">. </w:t>
      </w:r>
      <w:r w:rsidR="00091BA3" w:rsidRPr="00091BA3">
        <w:rPr>
          <w:rFonts w:cs="Times New Roman"/>
        </w:rPr>
        <w:t xml:space="preserve">On an exceptional basis, proposals that </w:t>
      </w:r>
      <w:r w:rsidR="00091BA3">
        <w:rPr>
          <w:rFonts w:cs="Times New Roman"/>
        </w:rPr>
        <w:t xml:space="preserve">exceed </w:t>
      </w:r>
      <w:r w:rsidR="00091BA3" w:rsidRPr="00091BA3">
        <w:rPr>
          <w:rFonts w:cs="Times New Roman"/>
        </w:rPr>
        <w:t>US$700,000</w:t>
      </w:r>
      <w:r w:rsidR="00091BA3">
        <w:rPr>
          <w:rFonts w:cs="Times New Roman"/>
        </w:rPr>
        <w:t xml:space="preserve"> will be considered. </w:t>
      </w:r>
      <w:r w:rsidR="00091BA3" w:rsidRPr="00091BA3">
        <w:rPr>
          <w:rFonts w:cs="Times New Roman"/>
        </w:rPr>
        <w:t xml:space="preserve">Any such proposals, including the justification for the </w:t>
      </w:r>
      <w:r w:rsidR="00091BA3">
        <w:rPr>
          <w:rFonts w:cs="Times New Roman"/>
        </w:rPr>
        <w:t>larger amount</w:t>
      </w:r>
      <w:r w:rsidR="00091BA3" w:rsidRPr="00091BA3">
        <w:rPr>
          <w:rFonts w:cs="Times New Roman"/>
        </w:rPr>
        <w:t xml:space="preserve">, will be reviewed by the Project Team </w:t>
      </w:r>
      <w:r w:rsidR="002E1F70">
        <w:rPr>
          <w:rFonts w:cs="Times New Roman"/>
        </w:rPr>
        <w:t xml:space="preserve">Committee </w:t>
      </w:r>
      <w:r w:rsidR="00091BA3" w:rsidRPr="00091BA3">
        <w:rPr>
          <w:rFonts w:cs="Times New Roman"/>
        </w:rPr>
        <w:t xml:space="preserve">and </w:t>
      </w:r>
      <w:r w:rsidR="00091BA3">
        <w:rPr>
          <w:rFonts w:cs="Times New Roman"/>
        </w:rPr>
        <w:t>consider</w:t>
      </w:r>
      <w:r w:rsidR="00B73D6B">
        <w:rPr>
          <w:rFonts w:cs="Times New Roman"/>
        </w:rPr>
        <w:t>ed</w:t>
      </w:r>
      <w:r w:rsidR="00091BA3">
        <w:rPr>
          <w:rFonts w:cs="Times New Roman"/>
        </w:rPr>
        <w:t xml:space="preserve"> for approval by</w:t>
      </w:r>
      <w:r w:rsidR="00091BA3" w:rsidRPr="00091BA3">
        <w:rPr>
          <w:rFonts w:cs="Times New Roman"/>
        </w:rPr>
        <w:t xml:space="preserve"> the Steering Committee</w:t>
      </w:r>
      <w:r w:rsidR="00893509" w:rsidRPr="00893509">
        <w:rPr>
          <w:rFonts w:cs="Times New Roman"/>
        </w:rPr>
        <w:t>.</w:t>
      </w:r>
      <w:r w:rsidR="00F210A8">
        <w:rPr>
          <w:rStyle w:val="FootnoteReference"/>
          <w:rFonts w:cs="Times New Roman"/>
        </w:rPr>
        <w:footnoteReference w:id="3"/>
      </w:r>
      <w:r w:rsidR="00893509" w:rsidRPr="00893509">
        <w:rPr>
          <w:rFonts w:cs="Times New Roman"/>
        </w:rPr>
        <w:t xml:space="preserve"> </w:t>
      </w:r>
      <w:r w:rsidR="0061132F">
        <w:rPr>
          <w:rFonts w:cs="Times New Roman"/>
        </w:rPr>
        <w:t xml:space="preserve">Bank and ACF teams </w:t>
      </w:r>
      <w:r w:rsidR="00893509" w:rsidRPr="00893509">
        <w:rPr>
          <w:rFonts w:cs="Times New Roman"/>
        </w:rPr>
        <w:t xml:space="preserve">will be encouraged to submit proposals for amounts below the maximum wherever this is reasonable, and the maximum limit may be reviewed by the </w:t>
      </w:r>
      <w:r w:rsidR="00893509">
        <w:rPr>
          <w:rFonts w:cs="Times New Roman"/>
        </w:rPr>
        <w:t>Steering Committee</w:t>
      </w:r>
      <w:r w:rsidR="00893509" w:rsidRPr="00893509">
        <w:rPr>
          <w:rFonts w:cs="Times New Roman"/>
        </w:rPr>
        <w:t xml:space="preserve"> in the light of </w:t>
      </w:r>
      <w:r w:rsidR="00A077DF">
        <w:rPr>
          <w:rFonts w:cs="Times New Roman"/>
        </w:rPr>
        <w:t>TF</w:t>
      </w:r>
      <w:r w:rsidR="00893509" w:rsidRPr="00893509">
        <w:rPr>
          <w:rFonts w:cs="Times New Roman"/>
        </w:rPr>
        <w:t xml:space="preserve"> experience</w:t>
      </w:r>
      <w:r w:rsidR="007F1C01">
        <w:rPr>
          <w:rFonts w:cs="Times New Roman"/>
        </w:rPr>
        <w:t>.</w:t>
      </w:r>
    </w:p>
    <w:p w:rsidR="000E75F9" w:rsidRDefault="007E2510" w:rsidP="00B33AD9">
      <w:pPr>
        <w:pStyle w:val="FootnoteText"/>
        <w:keepNext/>
        <w:spacing w:before="240"/>
        <w:rPr>
          <w:rFonts w:cs="Times New Roman"/>
          <w:b/>
          <w:bCs/>
          <w:sz w:val="24"/>
          <w:szCs w:val="24"/>
        </w:rPr>
      </w:pPr>
      <w:r>
        <w:rPr>
          <w:rFonts w:cs="Times New Roman"/>
          <w:b/>
          <w:bCs/>
          <w:sz w:val="24"/>
          <w:szCs w:val="24"/>
        </w:rPr>
        <w:t>Eligible E</w:t>
      </w:r>
      <w:r w:rsidR="000E75F9">
        <w:rPr>
          <w:rFonts w:cs="Times New Roman"/>
          <w:b/>
          <w:bCs/>
          <w:sz w:val="24"/>
          <w:szCs w:val="24"/>
        </w:rPr>
        <w:t>xpenditures</w:t>
      </w:r>
    </w:p>
    <w:p w:rsidR="000E75F9" w:rsidRDefault="000E75F9" w:rsidP="00B33AD9">
      <w:pPr>
        <w:keepNext/>
        <w:tabs>
          <w:tab w:val="left" w:pos="0"/>
        </w:tabs>
        <w:spacing w:before="240"/>
        <w:rPr>
          <w:rFonts w:cs="Times New Roman"/>
        </w:rPr>
      </w:pPr>
      <w:r>
        <w:rPr>
          <w:rFonts w:cs="Times New Roman"/>
        </w:rPr>
        <w:t xml:space="preserve">For </w:t>
      </w:r>
      <w:r w:rsidR="009C0F07">
        <w:rPr>
          <w:rFonts w:cs="Times New Roman"/>
        </w:rPr>
        <w:t>project preparation grants</w:t>
      </w:r>
      <w:r>
        <w:rPr>
          <w:rFonts w:cs="Times New Roman"/>
        </w:rPr>
        <w:t xml:space="preserve">, the </w:t>
      </w:r>
      <w:r w:rsidR="00A077DF">
        <w:rPr>
          <w:rFonts w:cs="Times New Roman"/>
        </w:rPr>
        <w:t>TF</w:t>
      </w:r>
      <w:r>
        <w:rPr>
          <w:rFonts w:cs="Times New Roman"/>
        </w:rPr>
        <w:t xml:space="preserve"> Contributions may be used to finance the following:</w:t>
      </w:r>
    </w:p>
    <w:p w:rsidR="000E75F9" w:rsidRDefault="000E75F9" w:rsidP="002E1F70">
      <w:pPr>
        <w:numPr>
          <w:ilvl w:val="0"/>
          <w:numId w:val="24"/>
        </w:numPr>
        <w:spacing w:before="120"/>
        <w:ind w:left="1267" w:hanging="547"/>
        <w:rPr>
          <w:rFonts w:cs="Times New Roman"/>
        </w:rPr>
      </w:pPr>
      <w:r>
        <w:rPr>
          <w:rFonts w:cs="Times New Roman"/>
        </w:rPr>
        <w:t>Consultants’ services</w:t>
      </w:r>
      <w:r w:rsidR="007C7AEF">
        <w:rPr>
          <w:rFonts w:cs="Times New Roman"/>
        </w:rPr>
        <w:t>.</w:t>
      </w:r>
    </w:p>
    <w:p w:rsidR="00767640" w:rsidRDefault="00767640" w:rsidP="002E1F70">
      <w:pPr>
        <w:numPr>
          <w:ilvl w:val="0"/>
          <w:numId w:val="24"/>
        </w:numPr>
        <w:ind w:left="1267" w:hanging="547"/>
        <w:rPr>
          <w:rFonts w:cs="Times New Roman"/>
        </w:rPr>
      </w:pPr>
      <w:r>
        <w:rPr>
          <w:rFonts w:cs="Times New Roman"/>
        </w:rPr>
        <w:t>Goods (approved on a case-by-case basis by the Steering Committee. This category primarily refers to equipment deemed essential to carry out technical assistance and achieve grant objectives, and will not exceed 10 percent of the total grant amount).</w:t>
      </w:r>
    </w:p>
    <w:p w:rsidR="007F1C01" w:rsidRDefault="000E75F9" w:rsidP="00BA4AF7">
      <w:pPr>
        <w:numPr>
          <w:ilvl w:val="0"/>
          <w:numId w:val="24"/>
        </w:numPr>
        <w:ind w:left="1260" w:hanging="540"/>
        <w:rPr>
          <w:rFonts w:cs="Times New Roman"/>
        </w:rPr>
      </w:pPr>
      <w:r>
        <w:rPr>
          <w:rFonts w:cs="Times New Roman"/>
        </w:rPr>
        <w:t>Operating Costs</w:t>
      </w:r>
      <w:r w:rsidR="001434E8">
        <w:rPr>
          <w:rStyle w:val="FootnoteReference"/>
          <w:rFonts w:cs="Times New Roman"/>
        </w:rPr>
        <w:footnoteReference w:id="4"/>
      </w:r>
      <w:r>
        <w:rPr>
          <w:rFonts w:cs="Times New Roman"/>
        </w:rPr>
        <w:t xml:space="preserve"> a</w:t>
      </w:r>
      <w:r w:rsidR="009114CA">
        <w:rPr>
          <w:rFonts w:cs="Times New Roman"/>
        </w:rPr>
        <w:t>pproved by</w:t>
      </w:r>
      <w:r>
        <w:rPr>
          <w:rFonts w:cs="Times New Roman"/>
        </w:rPr>
        <w:t xml:space="preserve"> the Steering Committee </w:t>
      </w:r>
      <w:r w:rsidR="009114CA">
        <w:rPr>
          <w:rFonts w:cs="Times New Roman"/>
        </w:rPr>
        <w:t xml:space="preserve">on a case-by-case basis </w:t>
      </w:r>
      <w:r>
        <w:rPr>
          <w:rFonts w:cs="Times New Roman"/>
        </w:rPr>
        <w:t>and not exceeding 10</w:t>
      </w:r>
      <w:r w:rsidR="003D4F90">
        <w:rPr>
          <w:rFonts w:cs="Times New Roman"/>
        </w:rPr>
        <w:t xml:space="preserve"> percent </w:t>
      </w:r>
      <w:r>
        <w:rPr>
          <w:rFonts w:cs="Times New Roman"/>
        </w:rPr>
        <w:t xml:space="preserve">of the total </w:t>
      </w:r>
      <w:r w:rsidR="00D93815">
        <w:rPr>
          <w:rFonts w:cs="Times New Roman"/>
        </w:rPr>
        <w:t xml:space="preserve">grant amount </w:t>
      </w:r>
      <w:r w:rsidR="00767F2F" w:rsidRPr="00767F2F">
        <w:rPr>
          <w:rFonts w:cs="Times New Roman"/>
        </w:rPr>
        <w:t>(Government officials and civil servants may only be hired under certain circumstances as described in para</w:t>
      </w:r>
      <w:r w:rsidR="00942F6F">
        <w:rPr>
          <w:rFonts w:cs="Times New Roman"/>
        </w:rPr>
        <w:t>graph</w:t>
      </w:r>
      <w:r w:rsidR="00767F2F" w:rsidRPr="00767F2F">
        <w:rPr>
          <w:rFonts w:cs="Times New Roman"/>
        </w:rPr>
        <w:t xml:space="preserve"> 1.1</w:t>
      </w:r>
      <w:r w:rsidR="00B33AD9">
        <w:rPr>
          <w:rFonts w:cs="Times New Roman"/>
        </w:rPr>
        <w:t>3</w:t>
      </w:r>
      <w:r w:rsidR="00767F2F" w:rsidRPr="00767F2F">
        <w:rPr>
          <w:rFonts w:cs="Times New Roman"/>
        </w:rPr>
        <w:t xml:space="preserve"> of the </w:t>
      </w:r>
      <w:r w:rsidR="00B33AD9">
        <w:rPr>
          <w:rFonts w:cs="Times New Roman"/>
        </w:rPr>
        <w:t xml:space="preserve">World </w:t>
      </w:r>
      <w:r w:rsidR="00767F2F" w:rsidRPr="00767F2F">
        <w:rPr>
          <w:rFonts w:cs="Times New Roman"/>
        </w:rPr>
        <w:t xml:space="preserve">Bank’s </w:t>
      </w:r>
      <w:r w:rsidR="00B33AD9" w:rsidRPr="00B33AD9">
        <w:rPr>
          <w:rFonts w:cs="Times New Roman"/>
          <w:i/>
          <w:iCs/>
        </w:rPr>
        <w:t>“Guidelines: Selection and Employment of Consultants by World Bank Borrowers”</w:t>
      </w:r>
      <w:r w:rsidR="00B33AD9" w:rsidRPr="00B33AD9">
        <w:rPr>
          <w:rFonts w:cs="Times New Roman"/>
          <w:iCs/>
          <w:vertAlign w:val="superscript"/>
        </w:rPr>
        <w:footnoteReference w:id="5"/>
      </w:r>
      <w:r w:rsidR="00767F2F" w:rsidRPr="00767F2F">
        <w:rPr>
          <w:rFonts w:cs="Times New Roman"/>
        </w:rPr>
        <w:t>)</w:t>
      </w:r>
      <w:r w:rsidR="007F1C01">
        <w:rPr>
          <w:rFonts w:cs="Times New Roman"/>
        </w:rPr>
        <w:t>.</w:t>
      </w:r>
    </w:p>
    <w:p w:rsidR="000E75F9" w:rsidRPr="003D4F90" w:rsidRDefault="000E75F9" w:rsidP="003D4F90">
      <w:pPr>
        <w:numPr>
          <w:ilvl w:val="0"/>
          <w:numId w:val="24"/>
        </w:numPr>
        <w:ind w:left="1260" w:hanging="540"/>
        <w:rPr>
          <w:rFonts w:cs="Times New Roman"/>
        </w:rPr>
      </w:pPr>
      <w:r>
        <w:rPr>
          <w:rFonts w:cs="Times New Roman"/>
        </w:rPr>
        <w:t xml:space="preserve">Training. Total training expenses </w:t>
      </w:r>
      <w:r w:rsidR="003D2914">
        <w:rPr>
          <w:rFonts w:cs="Times New Roman"/>
        </w:rPr>
        <w:t>will</w:t>
      </w:r>
      <w:r w:rsidR="003555AE">
        <w:rPr>
          <w:rFonts w:cs="Times New Roman"/>
        </w:rPr>
        <w:t xml:space="preserve"> be expected not to exceed 10 percent of the overall grant amount</w:t>
      </w:r>
      <w:r w:rsidR="00B41D13">
        <w:rPr>
          <w:rFonts w:cs="Times New Roman"/>
        </w:rPr>
        <w:t>, although l</w:t>
      </w:r>
      <w:r w:rsidR="003555AE">
        <w:rPr>
          <w:rFonts w:cs="Times New Roman"/>
        </w:rPr>
        <w:t>a</w:t>
      </w:r>
      <w:r w:rsidR="007C0388">
        <w:rPr>
          <w:rFonts w:cs="Times New Roman"/>
        </w:rPr>
        <w:t xml:space="preserve">rger allocations for training </w:t>
      </w:r>
      <w:r w:rsidR="00B41D13">
        <w:rPr>
          <w:rFonts w:cs="Times New Roman"/>
        </w:rPr>
        <w:t>could</w:t>
      </w:r>
      <w:r w:rsidR="007C0388">
        <w:rPr>
          <w:rFonts w:cs="Times New Roman"/>
        </w:rPr>
        <w:t xml:space="preserve"> be approved </w:t>
      </w:r>
      <w:r w:rsidR="008722A6">
        <w:rPr>
          <w:rFonts w:cs="Times New Roman"/>
        </w:rPr>
        <w:t>on case-by-case basis</w:t>
      </w:r>
      <w:r w:rsidR="003555AE">
        <w:rPr>
          <w:rFonts w:cs="Times New Roman"/>
        </w:rPr>
        <w:t>. Training</w:t>
      </w:r>
      <w:r>
        <w:rPr>
          <w:rFonts w:cs="Times New Roman"/>
        </w:rPr>
        <w:t xml:space="preserve"> </w:t>
      </w:r>
      <w:r w:rsidR="003D2914">
        <w:rPr>
          <w:rFonts w:cs="Times New Roman"/>
        </w:rPr>
        <w:t>will</w:t>
      </w:r>
      <w:r>
        <w:rPr>
          <w:rFonts w:cs="Times New Roman"/>
        </w:rPr>
        <w:t xml:space="preserve"> be carried out, whenever possible, in-country. Study tours expenses </w:t>
      </w:r>
      <w:r w:rsidR="003D2914">
        <w:rPr>
          <w:rFonts w:cs="Times New Roman"/>
        </w:rPr>
        <w:t>will</w:t>
      </w:r>
      <w:r>
        <w:rPr>
          <w:rFonts w:cs="Times New Roman"/>
        </w:rPr>
        <w:t xml:space="preserve"> not exceed </w:t>
      </w:r>
      <w:r w:rsidR="007C7AEF">
        <w:rPr>
          <w:rFonts w:cs="Times New Roman"/>
        </w:rPr>
        <w:t>5</w:t>
      </w:r>
      <w:r w:rsidR="003D4F90">
        <w:rPr>
          <w:rFonts w:cs="Times New Roman"/>
        </w:rPr>
        <w:t xml:space="preserve"> percent</w:t>
      </w:r>
      <w:r w:rsidR="003D4F90" w:rsidRPr="003D4F90">
        <w:rPr>
          <w:rFonts w:cs="Times New Roman"/>
        </w:rPr>
        <w:t xml:space="preserve"> </w:t>
      </w:r>
      <w:r w:rsidRPr="003D4F90">
        <w:rPr>
          <w:rFonts w:cs="Times New Roman"/>
        </w:rPr>
        <w:t>of the grant amount. The grants will not fund academic studies leading to a degree.</w:t>
      </w:r>
    </w:p>
    <w:p w:rsidR="000E75F9" w:rsidRDefault="000E75F9" w:rsidP="00BA4AF7">
      <w:pPr>
        <w:spacing w:before="240"/>
        <w:rPr>
          <w:rFonts w:cs="Times New Roman"/>
        </w:rPr>
      </w:pPr>
      <w:r>
        <w:rPr>
          <w:rFonts w:cs="Times New Roman"/>
        </w:rPr>
        <w:t>The foregoing categories of expenditures may include the financing of taxes</w:t>
      </w:r>
      <w:r w:rsidR="00364726">
        <w:rPr>
          <w:rFonts w:cs="Times New Roman"/>
        </w:rPr>
        <w:t xml:space="preserve"> </w:t>
      </w:r>
      <w:r w:rsidR="0011285F">
        <w:rPr>
          <w:rFonts w:cs="Times New Roman"/>
        </w:rPr>
        <w:t xml:space="preserve">in </w:t>
      </w:r>
      <w:r w:rsidR="007C7AEF">
        <w:rPr>
          <w:rFonts w:cs="Times New Roman"/>
        </w:rPr>
        <w:t xml:space="preserve">line </w:t>
      </w:r>
      <w:r w:rsidR="0011285F">
        <w:rPr>
          <w:rFonts w:cs="Times New Roman"/>
        </w:rPr>
        <w:t xml:space="preserve">with the corresponding </w:t>
      </w:r>
      <w:r w:rsidR="0011285F" w:rsidRPr="0011285F">
        <w:rPr>
          <w:rFonts w:cs="Times New Roman"/>
        </w:rPr>
        <w:t>country financing parameters</w:t>
      </w:r>
      <w:r w:rsidR="006C6583">
        <w:rPr>
          <w:rFonts w:cs="Times New Roman"/>
        </w:rPr>
        <w:t xml:space="preserve"> </w:t>
      </w:r>
      <w:r w:rsidR="00127ED4">
        <w:rPr>
          <w:rFonts w:cs="Times New Roman"/>
        </w:rPr>
        <w:t>established in accordance with OP/BP 6.00</w:t>
      </w:r>
      <w:r w:rsidR="006C6583" w:rsidRPr="006C6583">
        <w:rPr>
          <w:rFonts w:cs="Times New Roman"/>
        </w:rPr>
        <w:t xml:space="preserve"> Bank Financing</w:t>
      </w:r>
      <w:r w:rsidR="004D09F2">
        <w:rPr>
          <w:rStyle w:val="FootnoteReference"/>
          <w:rFonts w:cs="Times New Roman"/>
        </w:rPr>
        <w:footnoteReference w:id="6"/>
      </w:r>
      <w:r w:rsidR="00127ED4">
        <w:rPr>
          <w:rFonts w:cs="Times New Roman"/>
        </w:rPr>
        <w:t xml:space="preserve"> and related memoranda.</w:t>
      </w:r>
    </w:p>
    <w:p w:rsidR="006C6583" w:rsidRDefault="006C6583" w:rsidP="00BA4AF7">
      <w:pPr>
        <w:spacing w:before="240"/>
        <w:rPr>
          <w:rFonts w:cs="Times New Roman"/>
        </w:rPr>
      </w:pPr>
      <w:r w:rsidRPr="006C6583">
        <w:rPr>
          <w:rFonts w:cs="Times New Roman"/>
        </w:rPr>
        <w:t>Civil works, salaries of civil servants, government staff honoraria or sitting allowances, purchase or rental of vehicles, furniture or equipment of a recipient agency’s office or training facilities</w:t>
      </w:r>
      <w:r w:rsidR="00767F2F">
        <w:rPr>
          <w:rFonts w:cs="Times New Roman"/>
        </w:rPr>
        <w:t>,</w:t>
      </w:r>
      <w:r w:rsidRPr="006C6583">
        <w:rPr>
          <w:rFonts w:cs="Times New Roman"/>
        </w:rPr>
        <w:t xml:space="preserve"> or backstopping activities</w:t>
      </w:r>
      <w:r w:rsidR="00767F2F">
        <w:rPr>
          <w:rFonts w:cs="Times New Roman"/>
        </w:rPr>
        <w:t>,</w:t>
      </w:r>
      <w:r w:rsidRPr="006C6583">
        <w:rPr>
          <w:rFonts w:cs="Times New Roman"/>
          <w:vertAlign w:val="superscript"/>
        </w:rPr>
        <w:footnoteReference w:id="7"/>
      </w:r>
      <w:r w:rsidRPr="006C6583">
        <w:rPr>
          <w:rFonts w:cs="Times New Roman"/>
        </w:rPr>
        <w:t xml:space="preserve"> and implementation of pilot programs will not be eligible for financing under the TF.</w:t>
      </w:r>
    </w:p>
    <w:p w:rsidR="000E75F9" w:rsidRDefault="002366A9" w:rsidP="00AF2F50">
      <w:pPr>
        <w:pStyle w:val="FootnoteText"/>
        <w:spacing w:before="240"/>
        <w:rPr>
          <w:rFonts w:cs="Times New Roman"/>
          <w:b/>
          <w:bCs/>
          <w:sz w:val="24"/>
          <w:szCs w:val="24"/>
        </w:rPr>
      </w:pPr>
      <w:r>
        <w:rPr>
          <w:rFonts w:cs="Times New Roman"/>
          <w:b/>
          <w:bCs/>
          <w:sz w:val="24"/>
          <w:szCs w:val="24"/>
        </w:rPr>
        <w:lastRenderedPageBreak/>
        <w:t xml:space="preserve">Call for Proposals and </w:t>
      </w:r>
      <w:r w:rsidR="009C0F07">
        <w:rPr>
          <w:rFonts w:cs="Times New Roman"/>
          <w:b/>
          <w:bCs/>
          <w:sz w:val="24"/>
          <w:szCs w:val="24"/>
        </w:rPr>
        <w:t>Processing Steps</w:t>
      </w:r>
    </w:p>
    <w:p w:rsidR="007F1C01" w:rsidRDefault="00524897" w:rsidP="00FD5F08">
      <w:pPr>
        <w:spacing w:before="240"/>
        <w:rPr>
          <w:rFonts w:cs="Times New Roman"/>
        </w:rPr>
      </w:pPr>
      <w:r>
        <w:rPr>
          <w:rFonts w:cs="Times New Roman"/>
        </w:rPr>
        <w:t>T</w:t>
      </w:r>
      <w:r w:rsidRPr="00524897">
        <w:rPr>
          <w:rFonts w:cs="Times New Roman"/>
        </w:rPr>
        <w:t xml:space="preserve">he ECA Director of Operational Services and Quality </w:t>
      </w:r>
      <w:r w:rsidR="000E75F9">
        <w:rPr>
          <w:rFonts w:cs="Times New Roman"/>
        </w:rPr>
        <w:t xml:space="preserve">will invite proposals from the Bank’s </w:t>
      </w:r>
      <w:r w:rsidR="006D5B33">
        <w:rPr>
          <w:rFonts w:cs="Times New Roman"/>
        </w:rPr>
        <w:t xml:space="preserve">ECA </w:t>
      </w:r>
      <w:r w:rsidR="000E75F9">
        <w:rPr>
          <w:rFonts w:cs="Times New Roman"/>
        </w:rPr>
        <w:t xml:space="preserve">Regional </w:t>
      </w:r>
      <w:proofErr w:type="gramStart"/>
      <w:r w:rsidR="000E75F9">
        <w:rPr>
          <w:rFonts w:cs="Times New Roman"/>
        </w:rPr>
        <w:t>Vice</w:t>
      </w:r>
      <w:proofErr w:type="gramEnd"/>
      <w:r w:rsidR="000E75F9">
        <w:rPr>
          <w:rFonts w:cs="Times New Roman"/>
        </w:rPr>
        <w:t xml:space="preserve"> Presidency </w:t>
      </w:r>
      <w:r w:rsidR="006D5B33">
        <w:rPr>
          <w:rFonts w:cs="Times New Roman"/>
        </w:rPr>
        <w:t>country and sector units</w:t>
      </w:r>
      <w:r>
        <w:rPr>
          <w:rFonts w:cs="Times New Roman"/>
        </w:rPr>
        <w:t xml:space="preserve"> and the ACF staff</w:t>
      </w:r>
      <w:r w:rsidR="006D5B33">
        <w:rPr>
          <w:rFonts w:cs="Times New Roman"/>
        </w:rPr>
        <w:t xml:space="preserve"> </w:t>
      </w:r>
      <w:r w:rsidR="00871BE0">
        <w:rPr>
          <w:rFonts w:cs="Times New Roman"/>
        </w:rPr>
        <w:t>twice a year</w:t>
      </w:r>
      <w:r w:rsidR="000E75F9">
        <w:rPr>
          <w:rFonts w:cs="Times New Roman"/>
        </w:rPr>
        <w:t>.</w:t>
      </w:r>
      <w:r w:rsidR="00871BE0" w:rsidRPr="00871BE0">
        <w:t xml:space="preserve"> </w:t>
      </w:r>
      <w:r w:rsidR="000E75F9" w:rsidRPr="00871BE0">
        <w:rPr>
          <w:rFonts w:cs="Times New Roman"/>
        </w:rPr>
        <w:t>Information on the total amount available for each fiscal year and</w:t>
      </w:r>
      <w:r w:rsidR="000E75F9">
        <w:rPr>
          <w:rFonts w:cs="Times New Roman"/>
        </w:rPr>
        <w:t xml:space="preserve"> allocations for each </w:t>
      </w:r>
      <w:r w:rsidR="003655EC">
        <w:rPr>
          <w:rFonts w:cs="Times New Roman"/>
        </w:rPr>
        <w:t>component</w:t>
      </w:r>
      <w:r w:rsidR="000E75F9">
        <w:rPr>
          <w:rFonts w:cs="Times New Roman"/>
        </w:rPr>
        <w:t xml:space="preserve"> under each round will be provided</w:t>
      </w:r>
      <w:r w:rsidR="007F1C01">
        <w:rPr>
          <w:rFonts w:cs="Times New Roman"/>
        </w:rPr>
        <w:t>.</w:t>
      </w:r>
    </w:p>
    <w:p w:rsidR="00871BE0" w:rsidRDefault="00871BE0" w:rsidP="00871BE0">
      <w:pPr>
        <w:spacing w:before="240"/>
      </w:pPr>
      <w:r w:rsidRPr="00871BE0">
        <w:t xml:space="preserve">Grant </w:t>
      </w:r>
      <w:r w:rsidR="0098782A">
        <w:t>proposal</w:t>
      </w:r>
      <w:r w:rsidR="0098782A" w:rsidRPr="00871BE0">
        <w:t xml:space="preserve">s </w:t>
      </w:r>
      <w:r w:rsidRPr="00DF7560">
        <w:t xml:space="preserve">will be prepared using </w:t>
      </w:r>
      <w:r w:rsidR="00F210A8">
        <w:t xml:space="preserve">a concept memo </w:t>
      </w:r>
      <w:r w:rsidR="00524897">
        <w:t>template</w:t>
      </w:r>
      <w:r w:rsidR="00F210A8">
        <w:t xml:space="preserve"> or PCN </w:t>
      </w:r>
      <w:r w:rsidRPr="00DF7560">
        <w:t xml:space="preserve">by a </w:t>
      </w:r>
      <w:r w:rsidR="00603126">
        <w:t xml:space="preserve">Bank or ACF </w:t>
      </w:r>
      <w:r w:rsidR="007C0388">
        <w:t xml:space="preserve">team </w:t>
      </w:r>
      <w:r w:rsidRPr="00DF7560">
        <w:t>working with the expected recipient</w:t>
      </w:r>
      <w:r w:rsidR="00524897">
        <w:t xml:space="preserve"> country</w:t>
      </w:r>
      <w:r w:rsidRPr="00DF7560">
        <w:t>.</w:t>
      </w:r>
      <w:r>
        <w:t xml:space="preserve"> </w:t>
      </w:r>
      <w:r w:rsidRPr="00DF7560">
        <w:t xml:space="preserve">Country Project Preparation grant </w:t>
      </w:r>
      <w:r w:rsidR="0098782A">
        <w:t>proposal</w:t>
      </w:r>
      <w:r w:rsidR="0098782A" w:rsidRPr="00DF7560">
        <w:t xml:space="preserve">s </w:t>
      </w:r>
      <w:r w:rsidRPr="00DF7560">
        <w:t>will be supported by a formal request from the expected recipient</w:t>
      </w:r>
      <w:r w:rsidR="00524897">
        <w:t xml:space="preserve"> country</w:t>
      </w:r>
      <w:r w:rsidRPr="00DF7560">
        <w:t xml:space="preserve"> and cleared by the </w:t>
      </w:r>
      <w:r w:rsidR="00C862F8">
        <w:t xml:space="preserve">corresponding </w:t>
      </w:r>
      <w:r w:rsidR="00603126">
        <w:t>Bank Sector Manager (</w:t>
      </w:r>
      <w:r w:rsidR="00F03F1E">
        <w:t xml:space="preserve">SM); </w:t>
      </w:r>
      <w:r w:rsidR="00603126">
        <w:t>including</w:t>
      </w:r>
      <w:r w:rsidR="00603126" w:rsidRPr="00603126">
        <w:t xml:space="preserve"> for those grants related to projects to be financed </w:t>
      </w:r>
      <w:r w:rsidR="00603126">
        <w:t xml:space="preserve">solely </w:t>
      </w:r>
      <w:r w:rsidR="00603126" w:rsidRPr="00603126">
        <w:t xml:space="preserve">by ACF </w:t>
      </w:r>
      <w:r w:rsidR="00603126">
        <w:t>as the Bank Sector Manager will have to assign a Bank TTL if the proposal were to be approved for grant funding. Grant proposals should be endorsed by</w:t>
      </w:r>
      <w:r w:rsidR="00603126" w:rsidRPr="00603126">
        <w:t xml:space="preserve"> </w:t>
      </w:r>
      <w:proofErr w:type="gramStart"/>
      <w:r w:rsidR="00603126" w:rsidRPr="00603126">
        <w:t>either Bank</w:t>
      </w:r>
      <w:proofErr w:type="gramEnd"/>
      <w:r w:rsidR="00603126" w:rsidRPr="00603126">
        <w:t xml:space="preserve"> Country Directors or ACF Directors and/or Country Managers, as relevant</w:t>
      </w:r>
      <w:r w:rsidRPr="00DF7560">
        <w:t>.</w:t>
      </w:r>
      <w:r w:rsidR="00603126">
        <w:t xml:space="preserve"> </w:t>
      </w:r>
    </w:p>
    <w:p w:rsidR="002366A9" w:rsidRDefault="002366A9" w:rsidP="00871BE0">
      <w:pPr>
        <w:spacing w:before="240"/>
      </w:pPr>
      <w:r>
        <w:t>The team presenting</w:t>
      </w:r>
      <w:r w:rsidR="00F03F1E">
        <w:t xml:space="preserve"> a grant proposal will have to complete</w:t>
      </w:r>
      <w:r>
        <w:t xml:space="preserve"> the following steps:</w:t>
      </w:r>
    </w:p>
    <w:p w:rsidR="002366A9" w:rsidRPr="00D91FD0" w:rsidRDefault="002366A9" w:rsidP="00D91FD0">
      <w:pPr>
        <w:pStyle w:val="ListParagraph"/>
        <w:numPr>
          <w:ilvl w:val="0"/>
          <w:numId w:val="41"/>
        </w:numPr>
        <w:spacing w:before="120"/>
      </w:pPr>
      <w:r>
        <w:t xml:space="preserve">TTL identifies operation </w:t>
      </w:r>
      <w:r w:rsidR="009D0BB8">
        <w:t xml:space="preserve">that the grant will help prepared </w:t>
      </w:r>
      <w:r>
        <w:t xml:space="preserve">and </w:t>
      </w:r>
      <w:r w:rsidR="009D0BB8">
        <w:t xml:space="preserve">if it does not have </w:t>
      </w:r>
      <w:r>
        <w:t xml:space="preserve">an </w:t>
      </w:r>
      <w:r w:rsidR="00F03F1E">
        <w:t>Activity Initiation Summary (</w:t>
      </w:r>
      <w:r>
        <w:t>AIS</w:t>
      </w:r>
      <w:r w:rsidR="00F03F1E">
        <w:t>)</w:t>
      </w:r>
      <w:r w:rsidR="009D0BB8">
        <w:t xml:space="preserve"> yet, </w:t>
      </w:r>
      <w:r w:rsidR="009D0BB8" w:rsidRPr="009D0BB8">
        <w:t>creates</w:t>
      </w:r>
      <w:r w:rsidR="009D0BB8">
        <w:t xml:space="preserve"> one</w:t>
      </w:r>
      <w:r w:rsidR="00D91FD0">
        <w:t xml:space="preserve"> that the </w:t>
      </w:r>
      <w:r>
        <w:t xml:space="preserve">SM </w:t>
      </w:r>
      <w:r w:rsidR="00D91FD0">
        <w:rPr>
          <w:rFonts w:cs="Times New Roman"/>
        </w:rPr>
        <w:t>has to clear before submission of proposal</w:t>
      </w:r>
    </w:p>
    <w:p w:rsidR="002366A9" w:rsidRDefault="002366A9" w:rsidP="00F03F1E">
      <w:pPr>
        <w:pStyle w:val="ListParagraph"/>
        <w:numPr>
          <w:ilvl w:val="0"/>
          <w:numId w:val="41"/>
        </w:numPr>
      </w:pPr>
      <w:r>
        <w:t xml:space="preserve">TTL prepares a </w:t>
      </w:r>
      <w:r w:rsidR="00C727E0">
        <w:t>Application</w:t>
      </w:r>
      <w:r w:rsidR="00D91FD0">
        <w:t xml:space="preserve"> package</w:t>
      </w:r>
      <w:r>
        <w:t>:</w:t>
      </w:r>
    </w:p>
    <w:p w:rsidR="00C727E0" w:rsidRDefault="00712A8A" w:rsidP="00F03F1E">
      <w:pPr>
        <w:pStyle w:val="ListParagraph"/>
        <w:numPr>
          <w:ilvl w:val="1"/>
          <w:numId w:val="41"/>
        </w:numPr>
        <w:rPr>
          <w:rFonts w:cs="Times New Roman"/>
        </w:rPr>
      </w:pPr>
      <w:r>
        <w:rPr>
          <w:rFonts w:cs="Times New Roman"/>
        </w:rPr>
        <w:t>PCN</w:t>
      </w:r>
    </w:p>
    <w:p w:rsidR="002366A9" w:rsidRPr="00C727E0" w:rsidRDefault="00C727E0" w:rsidP="00F03F1E">
      <w:pPr>
        <w:pStyle w:val="ListParagraph"/>
        <w:numPr>
          <w:ilvl w:val="1"/>
          <w:numId w:val="41"/>
        </w:numPr>
        <w:rPr>
          <w:rFonts w:cs="Times New Roman"/>
        </w:rPr>
      </w:pPr>
      <w:r>
        <w:rPr>
          <w:rFonts w:cs="Times New Roman"/>
        </w:rPr>
        <w:t>Financi</w:t>
      </w:r>
      <w:r w:rsidR="00A329BF">
        <w:rPr>
          <w:rFonts w:cs="Times New Roman"/>
        </w:rPr>
        <w:t>ng</w:t>
      </w:r>
      <w:r>
        <w:rPr>
          <w:rFonts w:cs="Times New Roman"/>
        </w:rPr>
        <w:t xml:space="preserve"> plan</w:t>
      </w:r>
      <w:r w:rsidR="00712A8A">
        <w:rPr>
          <w:rFonts w:cs="Times New Roman"/>
        </w:rPr>
        <w:t xml:space="preserve"> (attached Excel file)</w:t>
      </w:r>
    </w:p>
    <w:p w:rsidR="002366A9" w:rsidRPr="00D64C29" w:rsidRDefault="002366A9" w:rsidP="00F03F1E">
      <w:pPr>
        <w:pStyle w:val="ListParagraph"/>
        <w:numPr>
          <w:ilvl w:val="1"/>
          <w:numId w:val="41"/>
        </w:numPr>
        <w:rPr>
          <w:rFonts w:cs="Times New Roman"/>
        </w:rPr>
      </w:pPr>
      <w:r w:rsidRPr="00D64C29">
        <w:rPr>
          <w:rFonts w:cs="Times New Roman"/>
        </w:rPr>
        <w:t xml:space="preserve">letter </w:t>
      </w:r>
      <w:r w:rsidR="00712A8A">
        <w:rPr>
          <w:rFonts w:cs="Times New Roman"/>
        </w:rPr>
        <w:t>of</w:t>
      </w:r>
      <w:r w:rsidRPr="00D64C29">
        <w:rPr>
          <w:rFonts w:cs="Times New Roman"/>
        </w:rPr>
        <w:t xml:space="preserve"> formal request from</w:t>
      </w:r>
      <w:r w:rsidR="00C727E0">
        <w:rPr>
          <w:rFonts w:cs="Times New Roman"/>
        </w:rPr>
        <w:t xml:space="preserve"> the expected recipient country</w:t>
      </w:r>
    </w:p>
    <w:p w:rsidR="002366A9" w:rsidRDefault="002366A9" w:rsidP="00F03F1E">
      <w:pPr>
        <w:pStyle w:val="ListParagraph"/>
        <w:numPr>
          <w:ilvl w:val="0"/>
          <w:numId w:val="41"/>
        </w:numPr>
      </w:pPr>
      <w:r>
        <w:t>SM clears the package</w:t>
      </w:r>
    </w:p>
    <w:p w:rsidR="002366A9" w:rsidRDefault="002366A9" w:rsidP="00F03F1E">
      <w:pPr>
        <w:pStyle w:val="ListParagraph"/>
        <w:numPr>
          <w:ilvl w:val="0"/>
          <w:numId w:val="41"/>
        </w:numPr>
      </w:pPr>
      <w:r w:rsidRPr="002366A9">
        <w:t xml:space="preserve">The country director </w:t>
      </w:r>
      <w:r w:rsidR="00C727E0">
        <w:t xml:space="preserve">endorses the package. </w:t>
      </w:r>
    </w:p>
    <w:p w:rsidR="002366A9" w:rsidRDefault="00C727E0" w:rsidP="00F03F1E">
      <w:pPr>
        <w:pStyle w:val="ListParagraph"/>
        <w:numPr>
          <w:ilvl w:val="0"/>
          <w:numId w:val="41"/>
        </w:numPr>
      </w:pPr>
      <w:r>
        <w:t xml:space="preserve"> T</w:t>
      </w:r>
      <w:r w:rsidR="002366A9" w:rsidRPr="002366A9">
        <w:t xml:space="preserve">he TTL </w:t>
      </w:r>
      <w:r>
        <w:t>submits the application</w:t>
      </w:r>
      <w:r w:rsidR="002366A9">
        <w:t xml:space="preserve"> to the TF Program Manager (Keta Ruiz) for consideration for funding by the TF Steering Committee.</w:t>
      </w:r>
    </w:p>
    <w:p w:rsidR="000E75F9" w:rsidRDefault="00A321DA" w:rsidP="00B33AD9">
      <w:pPr>
        <w:pStyle w:val="FootnoteText"/>
        <w:keepNext/>
        <w:spacing w:before="240"/>
        <w:rPr>
          <w:rFonts w:cs="Times New Roman"/>
          <w:b/>
          <w:bCs/>
          <w:sz w:val="24"/>
          <w:szCs w:val="24"/>
        </w:rPr>
      </w:pPr>
      <w:r>
        <w:rPr>
          <w:rFonts w:cs="Times New Roman"/>
          <w:b/>
          <w:bCs/>
          <w:sz w:val="24"/>
          <w:szCs w:val="24"/>
        </w:rPr>
        <w:t xml:space="preserve">Proposal </w:t>
      </w:r>
      <w:r w:rsidR="000E75F9">
        <w:rPr>
          <w:rFonts w:cs="Times New Roman"/>
          <w:b/>
          <w:bCs/>
          <w:sz w:val="24"/>
          <w:szCs w:val="24"/>
        </w:rPr>
        <w:t>Evaluation Criteria</w:t>
      </w:r>
      <w:bookmarkStart w:id="2" w:name="_GoBack"/>
      <w:bookmarkEnd w:id="2"/>
    </w:p>
    <w:p w:rsidR="000E75F9" w:rsidRDefault="00DE3AA8" w:rsidP="00BA4AF7">
      <w:pPr>
        <w:pStyle w:val="FootnoteText"/>
        <w:spacing w:before="240"/>
        <w:rPr>
          <w:rFonts w:cs="Times New Roman"/>
          <w:sz w:val="24"/>
          <w:szCs w:val="24"/>
        </w:rPr>
      </w:pPr>
      <w:r>
        <w:rPr>
          <w:rFonts w:cs="Times New Roman"/>
          <w:sz w:val="24"/>
          <w:szCs w:val="24"/>
        </w:rPr>
        <w:t>In addition to their technical quality and feasibility</w:t>
      </w:r>
      <w:r w:rsidR="006756AC">
        <w:rPr>
          <w:rFonts w:cs="Times New Roman"/>
          <w:sz w:val="24"/>
          <w:szCs w:val="24"/>
        </w:rPr>
        <w:t xml:space="preserve"> (</w:t>
      </w:r>
      <w:r w:rsidR="00B63F22">
        <w:rPr>
          <w:rFonts w:cs="Times New Roman"/>
          <w:sz w:val="24"/>
          <w:szCs w:val="24"/>
        </w:rPr>
        <w:t xml:space="preserve">e.g., </w:t>
      </w:r>
      <w:r w:rsidR="006756AC" w:rsidRPr="006756AC">
        <w:rPr>
          <w:rFonts w:cs="Times New Roman"/>
          <w:sz w:val="24"/>
          <w:szCs w:val="24"/>
        </w:rPr>
        <w:t>consisten</w:t>
      </w:r>
      <w:r w:rsidR="00B63F22">
        <w:rPr>
          <w:rFonts w:cs="Times New Roman"/>
          <w:sz w:val="24"/>
          <w:szCs w:val="24"/>
        </w:rPr>
        <w:t>cy</w:t>
      </w:r>
      <w:r w:rsidR="006756AC" w:rsidRPr="006756AC">
        <w:rPr>
          <w:rFonts w:cs="Times New Roman"/>
          <w:sz w:val="24"/>
          <w:szCs w:val="24"/>
        </w:rPr>
        <w:t xml:space="preserve"> </w:t>
      </w:r>
      <w:r w:rsidR="00B94991">
        <w:rPr>
          <w:rFonts w:cs="Times New Roman"/>
          <w:sz w:val="24"/>
          <w:szCs w:val="24"/>
        </w:rPr>
        <w:t xml:space="preserve">of the proposal objectives </w:t>
      </w:r>
      <w:r w:rsidR="006756AC" w:rsidRPr="006756AC">
        <w:rPr>
          <w:rFonts w:cs="Times New Roman"/>
          <w:sz w:val="24"/>
          <w:szCs w:val="24"/>
        </w:rPr>
        <w:t>with th</w:t>
      </w:r>
      <w:r w:rsidR="00B94991">
        <w:rPr>
          <w:rFonts w:cs="Times New Roman"/>
          <w:sz w:val="24"/>
          <w:szCs w:val="24"/>
        </w:rPr>
        <w:t>ose of the</w:t>
      </w:r>
      <w:r w:rsidR="006756AC" w:rsidRPr="006756AC">
        <w:rPr>
          <w:rFonts w:cs="Times New Roman"/>
          <w:sz w:val="24"/>
          <w:szCs w:val="24"/>
        </w:rPr>
        <w:t xml:space="preserve"> </w:t>
      </w:r>
      <w:r w:rsidR="00B63F22">
        <w:rPr>
          <w:rFonts w:cs="Times New Roman"/>
          <w:sz w:val="24"/>
          <w:szCs w:val="24"/>
        </w:rPr>
        <w:t>TF</w:t>
      </w:r>
      <w:r w:rsidR="006756AC" w:rsidRPr="006756AC">
        <w:rPr>
          <w:rFonts w:cs="Times New Roman"/>
          <w:sz w:val="24"/>
          <w:szCs w:val="24"/>
        </w:rPr>
        <w:t>,</w:t>
      </w:r>
      <w:r w:rsidR="00B63F22">
        <w:rPr>
          <w:rFonts w:cs="Times New Roman"/>
          <w:sz w:val="24"/>
          <w:szCs w:val="24"/>
        </w:rPr>
        <w:t xml:space="preserve"> </w:t>
      </w:r>
      <w:r w:rsidR="00B94991">
        <w:rPr>
          <w:rFonts w:cs="Times New Roman"/>
          <w:sz w:val="24"/>
          <w:szCs w:val="24"/>
        </w:rPr>
        <w:t xml:space="preserve">consistency of </w:t>
      </w:r>
      <w:r w:rsidR="00B63F22">
        <w:rPr>
          <w:rFonts w:cs="Times New Roman"/>
          <w:sz w:val="24"/>
          <w:szCs w:val="24"/>
        </w:rPr>
        <w:t xml:space="preserve">the proposed activities </w:t>
      </w:r>
      <w:r w:rsidR="00B94991">
        <w:rPr>
          <w:rFonts w:cs="Times New Roman"/>
          <w:sz w:val="24"/>
          <w:szCs w:val="24"/>
        </w:rPr>
        <w:t>with the proposal objectives</w:t>
      </w:r>
      <w:r w:rsidR="006756AC" w:rsidRPr="006756AC">
        <w:rPr>
          <w:rFonts w:cs="Times New Roman"/>
          <w:sz w:val="24"/>
          <w:szCs w:val="24"/>
        </w:rPr>
        <w:t xml:space="preserve">, </w:t>
      </w:r>
      <w:r w:rsidR="00B63F22">
        <w:rPr>
          <w:rFonts w:cs="Times New Roman"/>
          <w:sz w:val="24"/>
          <w:szCs w:val="24"/>
        </w:rPr>
        <w:t xml:space="preserve">readiness and feasibility </w:t>
      </w:r>
      <w:r w:rsidR="00B94991">
        <w:rPr>
          <w:rFonts w:cs="Times New Roman"/>
          <w:sz w:val="24"/>
          <w:szCs w:val="24"/>
        </w:rPr>
        <w:t xml:space="preserve">of the proposal </w:t>
      </w:r>
      <w:r w:rsidR="00B63F22">
        <w:rPr>
          <w:rFonts w:cs="Times New Roman"/>
          <w:sz w:val="24"/>
          <w:szCs w:val="24"/>
        </w:rPr>
        <w:t>to be implemented in the time frame</w:t>
      </w:r>
      <w:r w:rsidR="006756AC">
        <w:rPr>
          <w:rFonts w:cs="Times New Roman"/>
          <w:sz w:val="24"/>
          <w:szCs w:val="24"/>
        </w:rPr>
        <w:t>), t</w:t>
      </w:r>
      <w:r w:rsidR="000E75F9">
        <w:rPr>
          <w:rFonts w:cs="Times New Roman"/>
          <w:sz w:val="24"/>
          <w:szCs w:val="24"/>
        </w:rPr>
        <w:t xml:space="preserve">he following criteria will be taken into account when evaluating the </w:t>
      </w:r>
      <w:r w:rsidR="00A321DA">
        <w:rPr>
          <w:rFonts w:cs="Times New Roman"/>
          <w:sz w:val="24"/>
          <w:szCs w:val="24"/>
        </w:rPr>
        <w:t xml:space="preserve">proposals </w:t>
      </w:r>
      <w:r w:rsidR="000E75F9">
        <w:rPr>
          <w:rFonts w:cs="Times New Roman"/>
          <w:sz w:val="24"/>
          <w:szCs w:val="24"/>
        </w:rPr>
        <w:t xml:space="preserve">for TF funding </w:t>
      </w:r>
      <w:r w:rsidR="009703E1">
        <w:rPr>
          <w:rFonts w:cs="Times New Roman"/>
          <w:sz w:val="24"/>
          <w:szCs w:val="24"/>
        </w:rPr>
        <w:t>under Component</w:t>
      </w:r>
      <w:r w:rsidR="000E75F9">
        <w:rPr>
          <w:rFonts w:cs="Times New Roman"/>
          <w:sz w:val="24"/>
          <w:szCs w:val="24"/>
        </w:rPr>
        <w:t>:</w:t>
      </w:r>
    </w:p>
    <w:p w:rsidR="00BD1B63" w:rsidRDefault="001A1457" w:rsidP="00BD1B63">
      <w:pPr>
        <w:pStyle w:val="ListParagraph"/>
        <w:numPr>
          <w:ilvl w:val="0"/>
          <w:numId w:val="34"/>
        </w:numPr>
        <w:autoSpaceDE/>
        <w:autoSpaceDN/>
        <w:spacing w:before="120" w:line="276" w:lineRule="auto"/>
        <w:contextualSpacing/>
      </w:pPr>
      <w:r>
        <w:t>Resource availability</w:t>
      </w:r>
      <w:r w:rsidR="00767640">
        <w:t xml:space="preserve"> (based on available </w:t>
      </w:r>
      <w:r w:rsidR="00F210A8">
        <w:t xml:space="preserve">funding </w:t>
      </w:r>
      <w:r w:rsidR="00767640">
        <w:t>allocation)</w:t>
      </w:r>
      <w:r>
        <w:t>;</w:t>
      </w:r>
    </w:p>
    <w:p w:rsidR="00BD1B63" w:rsidRDefault="00C8599B" w:rsidP="00BD1B63">
      <w:pPr>
        <w:pStyle w:val="ListParagraph"/>
        <w:numPr>
          <w:ilvl w:val="0"/>
          <w:numId w:val="34"/>
        </w:numPr>
        <w:autoSpaceDE/>
        <w:autoSpaceDN/>
        <w:spacing w:line="276" w:lineRule="auto"/>
        <w:contextualSpacing/>
      </w:pPr>
      <w:r>
        <w:t>S</w:t>
      </w:r>
      <w:r w:rsidRPr="00C8599B">
        <w:t xml:space="preserve">trategic alignment with country </w:t>
      </w:r>
      <w:r w:rsidR="00E9077D">
        <w:t xml:space="preserve">and sector </w:t>
      </w:r>
      <w:r w:rsidRPr="00C8599B">
        <w:t>development</w:t>
      </w:r>
      <w:r>
        <w:t xml:space="preserve"> </w:t>
      </w:r>
      <w:r w:rsidRPr="00C8599B">
        <w:t>priorities</w:t>
      </w:r>
      <w:r w:rsidR="00E9077D" w:rsidRPr="00E9077D">
        <w:t xml:space="preserve"> and agreed </w:t>
      </w:r>
      <w:r w:rsidR="00EC54F1">
        <w:t xml:space="preserve">in </w:t>
      </w:r>
      <w:r w:rsidR="001E5C64">
        <w:t>Bank</w:t>
      </w:r>
      <w:r w:rsidR="00E9077D" w:rsidRPr="00E9077D">
        <w:t xml:space="preserve"> Country Assistance Strategies</w:t>
      </w:r>
      <w:r w:rsidR="00FC1015">
        <w:t xml:space="preserve"> and ACF’s strategic priorities</w:t>
      </w:r>
      <w:r w:rsidR="0074510B">
        <w:t>;</w:t>
      </w:r>
    </w:p>
    <w:p w:rsidR="00BD1B63" w:rsidRDefault="00C8599B" w:rsidP="00BD1B63">
      <w:pPr>
        <w:pStyle w:val="ListParagraph"/>
        <w:numPr>
          <w:ilvl w:val="0"/>
          <w:numId w:val="34"/>
        </w:numPr>
        <w:autoSpaceDE/>
        <w:autoSpaceDN/>
        <w:spacing w:line="276" w:lineRule="auto"/>
        <w:contextualSpacing/>
      </w:pPr>
      <w:r>
        <w:t>S</w:t>
      </w:r>
      <w:r w:rsidRPr="00C8599B">
        <w:t xml:space="preserve">upport of the proposals by the respective Government agencies and </w:t>
      </w:r>
      <w:r w:rsidR="0074510B">
        <w:t xml:space="preserve">either </w:t>
      </w:r>
      <w:r w:rsidR="001E5C64">
        <w:t>Bank</w:t>
      </w:r>
      <w:r w:rsidRPr="00C8599B">
        <w:t xml:space="preserve"> Country Directors</w:t>
      </w:r>
      <w:r w:rsidR="0074510B">
        <w:t xml:space="preserve"> or </w:t>
      </w:r>
      <w:r>
        <w:t>ACF Director</w:t>
      </w:r>
      <w:r w:rsidR="0074510B">
        <w:t>s</w:t>
      </w:r>
      <w:r w:rsidRPr="00C8599B">
        <w:t xml:space="preserve"> and/or Country Managers</w:t>
      </w:r>
      <w:r w:rsidR="0074510B">
        <w:t>, as relevant;</w:t>
      </w:r>
    </w:p>
    <w:p w:rsidR="00BD1B63" w:rsidRDefault="001A1457" w:rsidP="00BD1B63">
      <w:pPr>
        <w:pStyle w:val="ListParagraph"/>
        <w:numPr>
          <w:ilvl w:val="0"/>
          <w:numId w:val="34"/>
        </w:numPr>
        <w:autoSpaceDE/>
        <w:autoSpaceDN/>
        <w:spacing w:line="276" w:lineRule="auto"/>
        <w:contextualSpacing/>
      </w:pPr>
      <w:r>
        <w:t>Within broad grant eligibility</w:t>
      </w:r>
      <w:r w:rsidR="00C8599B">
        <w:t>,</w:t>
      </w:r>
      <w:r>
        <w:t xml:space="preserve"> IDA countries will have first priority, followed by IDA/IBRD blend borrowing members;</w:t>
      </w:r>
    </w:p>
    <w:p w:rsidR="00BD1B63" w:rsidRDefault="001A1457" w:rsidP="00BD1B63">
      <w:pPr>
        <w:pStyle w:val="ListParagraph"/>
        <w:numPr>
          <w:ilvl w:val="0"/>
          <w:numId w:val="34"/>
        </w:numPr>
        <w:autoSpaceDE/>
        <w:autoSpaceDN/>
        <w:spacing w:line="276" w:lineRule="auto"/>
        <w:contextualSpacing/>
      </w:pPr>
      <w:r>
        <w:t>Recipient agencies that have not previously benefited from similar capacity building support will have higher priority;</w:t>
      </w:r>
    </w:p>
    <w:p w:rsidR="00BD1B63" w:rsidRDefault="001A1457" w:rsidP="00BD1B63">
      <w:pPr>
        <w:pStyle w:val="ListParagraph"/>
        <w:numPr>
          <w:ilvl w:val="0"/>
          <w:numId w:val="34"/>
        </w:numPr>
        <w:autoSpaceDE/>
        <w:autoSpaceDN/>
        <w:spacing w:line="276" w:lineRule="auto"/>
        <w:contextualSpacing/>
      </w:pPr>
      <w:r>
        <w:t xml:space="preserve">Higher priority will be given to any </w:t>
      </w:r>
      <w:r w:rsidR="00FD5F08">
        <w:t>proposal</w:t>
      </w:r>
      <w:r>
        <w:t xml:space="preserve">s ranked as top priority by </w:t>
      </w:r>
      <w:r w:rsidR="0081574D">
        <w:t xml:space="preserve">the Bank Country Directors or ACF Directors and/or Country Managers of </w:t>
      </w:r>
      <w:r>
        <w:t xml:space="preserve">any country </w:t>
      </w:r>
      <w:r w:rsidR="00D42A50">
        <w:t xml:space="preserve">for which </w:t>
      </w:r>
      <w:r>
        <w:t xml:space="preserve">multiple </w:t>
      </w:r>
      <w:r w:rsidR="00FD5F08">
        <w:t>proposal</w:t>
      </w:r>
      <w:r>
        <w:t>s</w:t>
      </w:r>
      <w:r w:rsidR="00D42A50">
        <w:t xml:space="preserve"> are submitted</w:t>
      </w:r>
      <w:r>
        <w:t>;</w:t>
      </w:r>
      <w:r w:rsidR="00352E71">
        <w:t xml:space="preserve"> </w:t>
      </w:r>
    </w:p>
    <w:p w:rsidR="00BD1B63" w:rsidRDefault="001A1457" w:rsidP="00BD1B63">
      <w:pPr>
        <w:pStyle w:val="ListParagraph"/>
        <w:numPr>
          <w:ilvl w:val="0"/>
          <w:numId w:val="34"/>
        </w:numPr>
        <w:autoSpaceDE/>
        <w:autoSpaceDN/>
        <w:spacing w:line="276" w:lineRule="auto"/>
        <w:contextualSpacing/>
      </w:pPr>
      <w:r>
        <w:lastRenderedPageBreak/>
        <w:t>Low</w:t>
      </w:r>
      <w:r w:rsidR="0074510B">
        <w:t>er</w:t>
      </w:r>
      <w:r>
        <w:t xml:space="preserve"> priority will be given to proposals related to Additional Financing </w:t>
      </w:r>
      <w:r w:rsidR="007F1C01">
        <w:t>(AF)</w:t>
      </w:r>
      <w:r w:rsidR="00FC1015">
        <w:t>, unless the AF would require substantial preparation work, not included in the original project, that would merit consideration for a preparation grant</w:t>
      </w:r>
      <w:r w:rsidR="00942F6F">
        <w:t>; and</w:t>
      </w:r>
    </w:p>
    <w:p w:rsidR="00A8182E" w:rsidRDefault="00A8182E" w:rsidP="00BD1B63">
      <w:pPr>
        <w:pStyle w:val="ListParagraph"/>
        <w:numPr>
          <w:ilvl w:val="0"/>
          <w:numId w:val="34"/>
        </w:numPr>
        <w:autoSpaceDE/>
        <w:autoSpaceDN/>
        <w:spacing w:line="276" w:lineRule="auto"/>
        <w:contextualSpacing/>
      </w:pPr>
      <w:r>
        <w:t xml:space="preserve">Regional </w:t>
      </w:r>
      <w:r w:rsidR="008D6F40">
        <w:t>importance</w:t>
      </w:r>
      <w:r w:rsidR="00767640">
        <w:t xml:space="preserve"> (for regional grants)</w:t>
      </w:r>
      <w:r w:rsidR="008D6F40">
        <w:t>.</w:t>
      </w:r>
      <w:r>
        <w:t xml:space="preserve"> </w:t>
      </w:r>
    </w:p>
    <w:p w:rsidR="00F210A8" w:rsidRPr="00F210A8" w:rsidRDefault="00F210A8" w:rsidP="00AF2F50">
      <w:pPr>
        <w:pStyle w:val="FootnoteText"/>
        <w:spacing w:before="240"/>
        <w:rPr>
          <w:rFonts w:cs="Times New Roman"/>
          <w:bCs/>
          <w:sz w:val="24"/>
          <w:szCs w:val="24"/>
        </w:rPr>
      </w:pPr>
      <w:r w:rsidRPr="00F210A8">
        <w:rPr>
          <w:rFonts w:cs="Times New Roman"/>
          <w:bCs/>
          <w:sz w:val="24"/>
          <w:szCs w:val="24"/>
        </w:rPr>
        <w:t xml:space="preserve">The TF's </w:t>
      </w:r>
      <w:r>
        <w:rPr>
          <w:rFonts w:cs="Times New Roman"/>
          <w:bCs/>
          <w:sz w:val="24"/>
          <w:szCs w:val="24"/>
        </w:rPr>
        <w:t xml:space="preserve">Project Team Committee will review and prioritize the proposals and submit them to the </w:t>
      </w:r>
      <w:r w:rsidRPr="00F210A8">
        <w:rPr>
          <w:rFonts w:cs="Times New Roman"/>
          <w:bCs/>
          <w:sz w:val="24"/>
          <w:szCs w:val="24"/>
        </w:rPr>
        <w:t xml:space="preserve">Steering Committee </w:t>
      </w:r>
      <w:r>
        <w:rPr>
          <w:rFonts w:cs="Times New Roman"/>
          <w:bCs/>
          <w:sz w:val="24"/>
          <w:szCs w:val="24"/>
        </w:rPr>
        <w:t>who</w:t>
      </w:r>
      <w:r w:rsidRPr="00F210A8">
        <w:rPr>
          <w:rFonts w:cs="Times New Roman"/>
          <w:bCs/>
          <w:sz w:val="24"/>
          <w:szCs w:val="24"/>
        </w:rPr>
        <w:t xml:space="preserve"> will review </w:t>
      </w:r>
      <w:r>
        <w:rPr>
          <w:rFonts w:cs="Times New Roman"/>
          <w:bCs/>
          <w:sz w:val="24"/>
          <w:szCs w:val="24"/>
        </w:rPr>
        <w:t xml:space="preserve">and approve or reject </w:t>
      </w:r>
      <w:r w:rsidRPr="00F210A8">
        <w:rPr>
          <w:rFonts w:cs="Times New Roman"/>
          <w:bCs/>
          <w:sz w:val="24"/>
          <w:szCs w:val="24"/>
        </w:rPr>
        <w:t>the proposals and announce the winners.</w:t>
      </w:r>
      <w:r>
        <w:rPr>
          <w:rFonts w:cs="Times New Roman"/>
          <w:bCs/>
          <w:sz w:val="24"/>
          <w:szCs w:val="24"/>
        </w:rPr>
        <w:t xml:space="preserve"> Once the team is notified that their proposal is a winner, they could proceed with appraisal, negotiations and final CD approval </w:t>
      </w:r>
      <w:r w:rsidR="003D0D2A">
        <w:rPr>
          <w:rFonts w:cs="Times New Roman"/>
          <w:bCs/>
          <w:sz w:val="24"/>
          <w:szCs w:val="24"/>
        </w:rPr>
        <w:t>following the</w:t>
      </w:r>
      <w:r>
        <w:rPr>
          <w:rFonts w:cs="Times New Roman"/>
          <w:bCs/>
          <w:sz w:val="24"/>
          <w:szCs w:val="24"/>
        </w:rPr>
        <w:t xml:space="preserve"> processing steps </w:t>
      </w:r>
      <w:r w:rsidR="003D0D2A">
        <w:rPr>
          <w:rFonts w:cs="Times New Roman"/>
          <w:bCs/>
          <w:sz w:val="24"/>
          <w:szCs w:val="24"/>
        </w:rPr>
        <w:t xml:space="preserve">according to </w:t>
      </w:r>
      <w:r w:rsidR="00734EDA">
        <w:rPr>
          <w:rFonts w:cs="Times New Roman"/>
          <w:bCs/>
          <w:sz w:val="24"/>
          <w:szCs w:val="24"/>
        </w:rPr>
        <w:t>r</w:t>
      </w:r>
      <w:r w:rsidRPr="00F210A8">
        <w:rPr>
          <w:rFonts w:cs="Times New Roman"/>
          <w:bCs/>
          <w:sz w:val="24"/>
          <w:szCs w:val="24"/>
        </w:rPr>
        <w:t>egular Bank TF Administrative Procedures for Recipient-executed TFs (</w:t>
      </w:r>
      <w:hyperlink r:id="rId9" w:history="1">
        <w:r w:rsidRPr="00F210A8">
          <w:rPr>
            <w:rStyle w:val="Hyperlink"/>
            <w:rFonts w:cs="Times New Roman"/>
            <w:bCs/>
            <w:sz w:val="24"/>
            <w:szCs w:val="24"/>
          </w:rPr>
          <w:t>OP</w:t>
        </w:r>
      </w:hyperlink>
      <w:r w:rsidRPr="00F210A8">
        <w:rPr>
          <w:rFonts w:cs="Times New Roman"/>
          <w:bCs/>
          <w:sz w:val="24"/>
          <w:szCs w:val="24"/>
        </w:rPr>
        <w:t>/</w:t>
      </w:r>
      <w:hyperlink r:id="rId10" w:history="1">
        <w:r w:rsidRPr="00F210A8">
          <w:rPr>
            <w:rStyle w:val="Hyperlink"/>
            <w:rFonts w:cs="Times New Roman"/>
            <w:bCs/>
            <w:sz w:val="24"/>
            <w:szCs w:val="24"/>
          </w:rPr>
          <w:t>BP</w:t>
        </w:r>
      </w:hyperlink>
      <w:r w:rsidRPr="00F210A8">
        <w:rPr>
          <w:rFonts w:cs="Times New Roman"/>
          <w:bCs/>
          <w:sz w:val="24"/>
          <w:szCs w:val="24"/>
        </w:rPr>
        <w:t xml:space="preserve"> 14.40, </w:t>
      </w:r>
      <w:r w:rsidRPr="00F210A8">
        <w:rPr>
          <w:rFonts w:cs="Times New Roman"/>
          <w:bCs/>
          <w:i/>
          <w:iCs/>
          <w:sz w:val="24"/>
          <w:szCs w:val="24"/>
        </w:rPr>
        <w:t>Trust Funds</w:t>
      </w:r>
      <w:r w:rsidRPr="00F210A8">
        <w:rPr>
          <w:rFonts w:cs="Times New Roman"/>
          <w:bCs/>
          <w:sz w:val="24"/>
          <w:szCs w:val="24"/>
        </w:rPr>
        <w:t xml:space="preserve">), depending on the size of activity (either for micro grants – those below US$ 500,000 – or for small grants – those between US$500,000 and US$700,000) and using the corresponding </w:t>
      </w:r>
      <w:hyperlink r:id="rId11" w:history="1">
        <w:r w:rsidR="00734EDA">
          <w:rPr>
            <w:rStyle w:val="Hyperlink"/>
            <w:rFonts w:cs="Times New Roman"/>
            <w:bCs/>
            <w:sz w:val="24"/>
            <w:szCs w:val="24"/>
          </w:rPr>
          <w:t>g</w:t>
        </w:r>
        <w:r w:rsidRPr="00F210A8">
          <w:rPr>
            <w:rStyle w:val="Hyperlink"/>
            <w:rFonts w:cs="Times New Roman"/>
            <w:bCs/>
            <w:sz w:val="24"/>
            <w:szCs w:val="24"/>
          </w:rPr>
          <w:t>uidance</w:t>
        </w:r>
      </w:hyperlink>
      <w:r w:rsidRPr="00F210A8">
        <w:rPr>
          <w:rFonts w:cs="Times New Roman"/>
          <w:bCs/>
          <w:sz w:val="24"/>
          <w:szCs w:val="24"/>
        </w:rPr>
        <w:t xml:space="preserve"> and accompanying </w:t>
      </w:r>
      <w:hyperlink r:id="rId12" w:history="1">
        <w:r w:rsidRPr="00F210A8">
          <w:rPr>
            <w:rStyle w:val="Hyperlink"/>
            <w:rFonts w:cs="Times New Roman"/>
            <w:bCs/>
            <w:sz w:val="24"/>
            <w:szCs w:val="24"/>
          </w:rPr>
          <w:t>templates</w:t>
        </w:r>
      </w:hyperlink>
      <w:r w:rsidRPr="00F210A8">
        <w:rPr>
          <w:rFonts w:cs="Times New Roman"/>
          <w:bCs/>
          <w:sz w:val="24"/>
          <w:szCs w:val="24"/>
        </w:rPr>
        <w:t>.</w:t>
      </w:r>
    </w:p>
    <w:p w:rsidR="000E75F9" w:rsidRDefault="000E75F9" w:rsidP="00AF2F50">
      <w:pPr>
        <w:pStyle w:val="FootnoteText"/>
        <w:spacing w:before="240"/>
        <w:rPr>
          <w:rFonts w:cs="Times New Roman"/>
          <w:b/>
          <w:bCs/>
          <w:sz w:val="24"/>
          <w:szCs w:val="24"/>
        </w:rPr>
      </w:pPr>
      <w:r>
        <w:rPr>
          <w:rFonts w:cs="Times New Roman"/>
          <w:b/>
          <w:bCs/>
          <w:sz w:val="24"/>
          <w:szCs w:val="24"/>
        </w:rPr>
        <w:t>Grant Execution Arrangements</w:t>
      </w:r>
    </w:p>
    <w:p w:rsidR="007F1C01" w:rsidRDefault="000E75F9" w:rsidP="00AF2F50">
      <w:pPr>
        <w:pStyle w:val="FootnoteText"/>
        <w:spacing w:before="240"/>
        <w:rPr>
          <w:rFonts w:cs="Times New Roman"/>
          <w:sz w:val="24"/>
          <w:szCs w:val="24"/>
        </w:rPr>
      </w:pPr>
      <w:r>
        <w:rPr>
          <w:rFonts w:cs="Times New Roman"/>
          <w:sz w:val="24"/>
          <w:szCs w:val="24"/>
        </w:rPr>
        <w:t>Activities will be recipient-</w:t>
      </w:r>
      <w:r w:rsidR="004A4F03">
        <w:rPr>
          <w:rFonts w:cs="Times New Roman"/>
          <w:sz w:val="24"/>
          <w:szCs w:val="24"/>
        </w:rPr>
        <w:t>executed. A s</w:t>
      </w:r>
      <w:r w:rsidRPr="00A45F9D">
        <w:rPr>
          <w:rFonts w:cs="Times New Roman"/>
          <w:sz w:val="24"/>
          <w:szCs w:val="24"/>
        </w:rPr>
        <w:t xml:space="preserve">eparate </w:t>
      </w:r>
      <w:r w:rsidR="003A6703" w:rsidRPr="00A45F9D">
        <w:rPr>
          <w:rFonts w:cs="Times New Roman"/>
          <w:sz w:val="24"/>
          <w:szCs w:val="24"/>
        </w:rPr>
        <w:t>C</w:t>
      </w:r>
      <w:r w:rsidRPr="00A45F9D">
        <w:rPr>
          <w:rFonts w:cs="Times New Roman"/>
          <w:sz w:val="24"/>
          <w:szCs w:val="24"/>
        </w:rPr>
        <w:t xml:space="preserve">hild TF </w:t>
      </w:r>
      <w:r w:rsidR="003A6703" w:rsidRPr="00A45F9D">
        <w:rPr>
          <w:rFonts w:cs="Times New Roman"/>
          <w:sz w:val="24"/>
          <w:szCs w:val="24"/>
        </w:rPr>
        <w:t>(disbursing</w:t>
      </w:r>
      <w:r w:rsidR="003A6703">
        <w:rPr>
          <w:rFonts w:cs="Times New Roman"/>
          <w:sz w:val="24"/>
          <w:szCs w:val="24"/>
        </w:rPr>
        <w:t xml:space="preserve"> grant account) </w:t>
      </w:r>
      <w:r w:rsidR="004A4F03">
        <w:rPr>
          <w:rFonts w:cs="Times New Roman"/>
          <w:sz w:val="24"/>
          <w:szCs w:val="24"/>
        </w:rPr>
        <w:t>will be created for each proposal</w:t>
      </w:r>
      <w:r>
        <w:rPr>
          <w:rFonts w:cs="Times New Roman"/>
          <w:sz w:val="24"/>
          <w:szCs w:val="24"/>
        </w:rPr>
        <w:t xml:space="preserve"> selected for funding and separate grant agreements will be signed for each allocation. The recipient countries are expected to contribute to the activities supported by the </w:t>
      </w:r>
      <w:r w:rsidR="00A077DF">
        <w:rPr>
          <w:rFonts w:cs="Times New Roman"/>
          <w:sz w:val="24"/>
          <w:szCs w:val="24"/>
        </w:rPr>
        <w:t xml:space="preserve">TF </w:t>
      </w:r>
      <w:r>
        <w:rPr>
          <w:rFonts w:cs="Times New Roman"/>
          <w:sz w:val="24"/>
          <w:szCs w:val="24"/>
        </w:rPr>
        <w:t>with staff time and, as appropriate in each case, in-kind contribution or co-financing</w:t>
      </w:r>
      <w:r w:rsidR="007F1C01">
        <w:rPr>
          <w:rFonts w:cs="Times New Roman"/>
          <w:sz w:val="24"/>
          <w:szCs w:val="24"/>
        </w:rPr>
        <w:t>.</w:t>
      </w:r>
    </w:p>
    <w:p w:rsidR="007F1C01" w:rsidRDefault="000E75F9" w:rsidP="00C023EE">
      <w:pPr>
        <w:spacing w:before="240"/>
        <w:rPr>
          <w:rFonts w:cs="Times New Roman"/>
        </w:rPr>
      </w:pPr>
      <w:r w:rsidRPr="00C023EE">
        <w:rPr>
          <w:rFonts w:cs="Times New Roman"/>
        </w:rPr>
        <w:t xml:space="preserve">The responsibility for </w:t>
      </w:r>
      <w:r w:rsidR="0074510B">
        <w:rPr>
          <w:rFonts w:cs="Times New Roman"/>
        </w:rPr>
        <w:t>supervising</w:t>
      </w:r>
      <w:r w:rsidRPr="00C023EE">
        <w:rPr>
          <w:rFonts w:cs="Times New Roman"/>
        </w:rPr>
        <w:t xml:space="preserve"> specific activities that are approved for TF funding will be with</w:t>
      </w:r>
      <w:r w:rsidR="005D65FD">
        <w:rPr>
          <w:rFonts w:cs="Times New Roman"/>
        </w:rPr>
        <w:t xml:space="preserve"> the </w:t>
      </w:r>
      <w:r w:rsidR="00603126">
        <w:rPr>
          <w:rFonts w:cs="Times New Roman"/>
        </w:rPr>
        <w:t xml:space="preserve">Bank </w:t>
      </w:r>
      <w:r w:rsidR="005D65FD">
        <w:rPr>
          <w:rFonts w:cs="Times New Roman"/>
        </w:rPr>
        <w:t>TTLs for those activities</w:t>
      </w:r>
      <w:r w:rsidR="00603126">
        <w:rPr>
          <w:rFonts w:cs="Times New Roman"/>
        </w:rPr>
        <w:t xml:space="preserve"> (</w:t>
      </w:r>
      <w:r w:rsidR="00603126" w:rsidRPr="00603126">
        <w:rPr>
          <w:rFonts w:cs="Times New Roman"/>
        </w:rPr>
        <w:t xml:space="preserve">including for those grants related to projects to be financed </w:t>
      </w:r>
      <w:r w:rsidR="00603126">
        <w:rPr>
          <w:rFonts w:cs="Times New Roman"/>
        </w:rPr>
        <w:t xml:space="preserve">solely </w:t>
      </w:r>
      <w:r w:rsidR="00603126" w:rsidRPr="00603126">
        <w:rPr>
          <w:rFonts w:cs="Times New Roman"/>
        </w:rPr>
        <w:t xml:space="preserve">by ACF as the </w:t>
      </w:r>
      <w:r w:rsidR="00603126">
        <w:rPr>
          <w:rFonts w:cs="Times New Roman"/>
        </w:rPr>
        <w:t xml:space="preserve">corresponding </w:t>
      </w:r>
      <w:r w:rsidR="00603126" w:rsidRPr="00603126">
        <w:rPr>
          <w:rFonts w:cs="Times New Roman"/>
        </w:rPr>
        <w:t>Bank Sector Manager will have to assign a Bank TTL</w:t>
      </w:r>
      <w:r w:rsidR="00603126">
        <w:rPr>
          <w:rFonts w:cs="Times New Roman"/>
        </w:rPr>
        <w:t xml:space="preserve"> once</w:t>
      </w:r>
      <w:r w:rsidR="00603126" w:rsidRPr="00603126">
        <w:rPr>
          <w:rFonts w:cs="Times New Roman"/>
        </w:rPr>
        <w:t xml:space="preserve"> the proposal </w:t>
      </w:r>
      <w:r w:rsidR="00603126">
        <w:rPr>
          <w:rFonts w:cs="Times New Roman"/>
        </w:rPr>
        <w:t>is</w:t>
      </w:r>
      <w:r w:rsidR="00603126" w:rsidRPr="00603126">
        <w:rPr>
          <w:rFonts w:cs="Times New Roman"/>
        </w:rPr>
        <w:t xml:space="preserve"> approved for grant funding).</w:t>
      </w:r>
    </w:p>
    <w:p w:rsidR="00A329BF" w:rsidRDefault="00A329BF" w:rsidP="00A329BF">
      <w:pPr>
        <w:autoSpaceDE/>
        <w:autoSpaceDN/>
        <w:rPr>
          <w:rFonts w:cs="Times New Roman"/>
          <w:b/>
          <w:bCs/>
        </w:rPr>
      </w:pPr>
    </w:p>
    <w:p w:rsidR="000E75F9" w:rsidRDefault="000E75F9" w:rsidP="00A329BF">
      <w:pPr>
        <w:autoSpaceDE/>
        <w:autoSpaceDN/>
        <w:rPr>
          <w:rFonts w:cs="Times New Roman"/>
          <w:b/>
          <w:bCs/>
        </w:rPr>
      </w:pPr>
      <w:r>
        <w:rPr>
          <w:rFonts w:cs="Times New Roman"/>
          <w:b/>
          <w:bCs/>
        </w:rPr>
        <w:t>Bank’s Responsibilities as Grant Administrator</w:t>
      </w:r>
    </w:p>
    <w:p w:rsidR="00BD1B63" w:rsidRDefault="000E75F9" w:rsidP="00BD1B63">
      <w:pPr>
        <w:pStyle w:val="FootnoteText"/>
        <w:spacing w:before="240"/>
        <w:rPr>
          <w:rFonts w:cs="Times New Roman"/>
          <w:sz w:val="24"/>
          <w:szCs w:val="24"/>
        </w:rPr>
      </w:pPr>
      <w:r>
        <w:rPr>
          <w:rFonts w:cs="Times New Roman"/>
          <w:sz w:val="24"/>
          <w:szCs w:val="24"/>
        </w:rPr>
        <w:t>Recipient</w:t>
      </w:r>
      <w:r w:rsidR="00DB281F">
        <w:rPr>
          <w:rFonts w:cs="Times New Roman"/>
          <w:sz w:val="24"/>
          <w:szCs w:val="24"/>
        </w:rPr>
        <w:t>-executed</w:t>
      </w:r>
      <w:r>
        <w:rPr>
          <w:rFonts w:cs="Times New Roman"/>
          <w:sz w:val="24"/>
          <w:szCs w:val="24"/>
        </w:rPr>
        <w:t xml:space="preserve"> grants will be supervised by the </w:t>
      </w:r>
      <w:r w:rsidR="001E5C64">
        <w:rPr>
          <w:rFonts w:cs="Times New Roman"/>
          <w:sz w:val="24"/>
          <w:szCs w:val="24"/>
        </w:rPr>
        <w:t>Bank</w:t>
      </w:r>
      <w:r w:rsidR="007B427D">
        <w:rPr>
          <w:rFonts w:cs="Times New Roman"/>
          <w:sz w:val="24"/>
          <w:szCs w:val="24"/>
        </w:rPr>
        <w:t xml:space="preserve"> (and for those </w:t>
      </w:r>
      <w:r w:rsidR="00573EC4">
        <w:rPr>
          <w:rFonts w:cs="Times New Roman"/>
          <w:sz w:val="24"/>
          <w:szCs w:val="24"/>
        </w:rPr>
        <w:t xml:space="preserve">grants related to projects to be financed by ACF will involve </w:t>
      </w:r>
      <w:r w:rsidR="007B427D">
        <w:rPr>
          <w:rFonts w:cs="Times New Roman"/>
          <w:sz w:val="24"/>
          <w:szCs w:val="24"/>
        </w:rPr>
        <w:t>ACF staff</w:t>
      </w:r>
      <w:r w:rsidR="00573EC4">
        <w:rPr>
          <w:rFonts w:cs="Times New Roman"/>
          <w:sz w:val="24"/>
          <w:szCs w:val="24"/>
        </w:rPr>
        <w:t xml:space="preserve">, </w:t>
      </w:r>
      <w:r w:rsidR="00573EC4" w:rsidRPr="00573EC4">
        <w:rPr>
          <w:rFonts w:cs="Times New Roman"/>
          <w:sz w:val="24"/>
          <w:szCs w:val="24"/>
        </w:rPr>
        <w:t>as observers</w:t>
      </w:r>
      <w:r w:rsidR="00573EC4">
        <w:rPr>
          <w:rFonts w:cs="Times New Roman"/>
          <w:sz w:val="24"/>
          <w:szCs w:val="24"/>
        </w:rPr>
        <w:t>,</w:t>
      </w:r>
      <w:r w:rsidR="007B427D">
        <w:rPr>
          <w:rFonts w:cs="Times New Roman"/>
          <w:sz w:val="24"/>
          <w:szCs w:val="24"/>
        </w:rPr>
        <w:t xml:space="preserve"> </w:t>
      </w:r>
      <w:r w:rsidR="0074510B">
        <w:rPr>
          <w:rFonts w:cs="Times New Roman"/>
          <w:sz w:val="24"/>
          <w:szCs w:val="24"/>
        </w:rPr>
        <w:t xml:space="preserve">in implementation </w:t>
      </w:r>
      <w:r w:rsidR="00573EC4">
        <w:rPr>
          <w:rFonts w:cs="Times New Roman"/>
          <w:sz w:val="24"/>
          <w:szCs w:val="24"/>
        </w:rPr>
        <w:t>reviews and meetings</w:t>
      </w:r>
      <w:r w:rsidR="007B427D">
        <w:rPr>
          <w:rFonts w:cs="Times New Roman"/>
          <w:sz w:val="24"/>
          <w:szCs w:val="24"/>
        </w:rPr>
        <w:t>)</w:t>
      </w:r>
      <w:r>
        <w:rPr>
          <w:rFonts w:cs="Times New Roman"/>
          <w:sz w:val="24"/>
          <w:szCs w:val="24"/>
        </w:rPr>
        <w:t xml:space="preserve"> to ensure compliance with the </w:t>
      </w:r>
      <w:r w:rsidR="001E5C64">
        <w:rPr>
          <w:rFonts w:cs="Times New Roman"/>
          <w:sz w:val="24"/>
          <w:szCs w:val="24"/>
        </w:rPr>
        <w:t>Bank</w:t>
      </w:r>
      <w:r>
        <w:rPr>
          <w:rFonts w:cs="Times New Roman"/>
          <w:sz w:val="24"/>
          <w:szCs w:val="24"/>
        </w:rPr>
        <w:t xml:space="preserve">’s TF policies, as well as </w:t>
      </w:r>
      <w:r w:rsidR="004A4F03">
        <w:rPr>
          <w:rFonts w:cs="Times New Roman"/>
          <w:sz w:val="24"/>
          <w:szCs w:val="24"/>
        </w:rPr>
        <w:t xml:space="preserve">Safeguards, </w:t>
      </w:r>
      <w:r>
        <w:rPr>
          <w:rFonts w:cs="Times New Roman"/>
          <w:sz w:val="24"/>
          <w:szCs w:val="24"/>
        </w:rPr>
        <w:t>Procurement</w:t>
      </w:r>
      <w:r w:rsidR="00F60B0D">
        <w:rPr>
          <w:rFonts w:cs="Times New Roman"/>
          <w:sz w:val="24"/>
          <w:szCs w:val="24"/>
        </w:rPr>
        <w:t>,</w:t>
      </w:r>
      <w:r>
        <w:rPr>
          <w:rFonts w:cs="Times New Roman"/>
          <w:sz w:val="24"/>
          <w:szCs w:val="24"/>
        </w:rPr>
        <w:t xml:space="preserve"> and Financial Management Guidelines (as for </w:t>
      </w:r>
      <w:r w:rsidR="001E5C64">
        <w:rPr>
          <w:rFonts w:cs="Times New Roman"/>
          <w:sz w:val="24"/>
          <w:szCs w:val="24"/>
        </w:rPr>
        <w:t>Bank</w:t>
      </w:r>
      <w:r>
        <w:rPr>
          <w:rFonts w:cs="Times New Roman"/>
          <w:sz w:val="24"/>
          <w:szCs w:val="24"/>
        </w:rPr>
        <w:t xml:space="preserve"> loans and credits). Bank</w:t>
      </w:r>
      <w:r w:rsidR="00DB281F">
        <w:rPr>
          <w:rFonts w:cs="Times New Roman"/>
          <w:sz w:val="24"/>
          <w:szCs w:val="24"/>
        </w:rPr>
        <w:t>-executed</w:t>
      </w:r>
      <w:r>
        <w:rPr>
          <w:rFonts w:cs="Times New Roman"/>
          <w:sz w:val="24"/>
          <w:szCs w:val="24"/>
        </w:rPr>
        <w:t xml:space="preserve"> activities will be the responsibility solely of the </w:t>
      </w:r>
      <w:r w:rsidR="001E5C64">
        <w:rPr>
          <w:rFonts w:cs="Times New Roman"/>
          <w:sz w:val="24"/>
          <w:szCs w:val="24"/>
        </w:rPr>
        <w:t>Bank</w:t>
      </w:r>
      <w:r>
        <w:rPr>
          <w:rFonts w:cs="Times New Roman"/>
          <w:sz w:val="24"/>
          <w:szCs w:val="24"/>
        </w:rPr>
        <w:t xml:space="preserve"> and will be carried out in accordance with its applicable operational policies and procedures.</w:t>
      </w:r>
    </w:p>
    <w:p w:rsidR="003D0D2A" w:rsidRDefault="003D0D2A" w:rsidP="003D0D2A">
      <w:pPr>
        <w:autoSpaceDE/>
        <w:autoSpaceDN/>
        <w:rPr>
          <w:rFonts w:cs="Times New Roman"/>
          <w:b/>
          <w:bCs/>
        </w:rPr>
      </w:pPr>
    </w:p>
    <w:p w:rsidR="000E75F9" w:rsidRDefault="000E75F9" w:rsidP="003D0D2A">
      <w:pPr>
        <w:autoSpaceDE/>
        <w:autoSpaceDN/>
        <w:rPr>
          <w:rFonts w:cs="Times New Roman"/>
          <w:b/>
          <w:bCs/>
        </w:rPr>
      </w:pPr>
      <w:r>
        <w:rPr>
          <w:rFonts w:cs="Times New Roman"/>
          <w:b/>
          <w:bCs/>
        </w:rPr>
        <w:t>Procurement under Grant Activities</w:t>
      </w:r>
    </w:p>
    <w:p w:rsidR="00BD1B63" w:rsidRPr="00BD1B63" w:rsidRDefault="00BD1B63" w:rsidP="00BD1B63">
      <w:pPr>
        <w:spacing w:before="240"/>
        <w:rPr>
          <w:rFonts w:cs="Times New Roman"/>
          <w:iCs/>
        </w:rPr>
      </w:pPr>
      <w:r w:rsidRPr="00BD1B63">
        <w:rPr>
          <w:rFonts w:cs="Times New Roman"/>
          <w:iCs/>
        </w:rPr>
        <w:t xml:space="preserve">Procurement for the </w:t>
      </w:r>
      <w:r w:rsidR="000D6487" w:rsidRPr="000D6487">
        <w:rPr>
          <w:rFonts w:cs="Times New Roman"/>
          <w:iCs/>
        </w:rPr>
        <w:t>C</w:t>
      </w:r>
      <w:r w:rsidR="000D6487">
        <w:rPr>
          <w:rFonts w:cs="Times New Roman"/>
          <w:iCs/>
        </w:rPr>
        <w:t xml:space="preserve">hild </w:t>
      </w:r>
      <w:r w:rsidR="008E7CD4">
        <w:rPr>
          <w:rFonts w:cs="Times New Roman"/>
          <w:iCs/>
        </w:rPr>
        <w:t>TF</w:t>
      </w:r>
      <w:r w:rsidR="000D6487">
        <w:rPr>
          <w:rFonts w:cs="Times New Roman"/>
          <w:iCs/>
        </w:rPr>
        <w:t>s</w:t>
      </w:r>
      <w:r w:rsidRPr="00BD1B63">
        <w:rPr>
          <w:rFonts w:cs="Times New Roman"/>
          <w:iCs/>
        </w:rPr>
        <w:t xml:space="preserve"> would be carried out in accordance with</w:t>
      </w:r>
      <w:r w:rsidR="00B1246E">
        <w:rPr>
          <w:rFonts w:cs="Times New Roman"/>
          <w:iCs/>
        </w:rPr>
        <w:t xml:space="preserve"> </w:t>
      </w:r>
      <w:r w:rsidRPr="00BD1B63">
        <w:rPr>
          <w:rFonts w:cs="Times New Roman"/>
          <w:iCs/>
        </w:rPr>
        <w:t xml:space="preserve">the World Bank‘s </w:t>
      </w:r>
      <w:r w:rsidR="003A7E82">
        <w:rPr>
          <w:rFonts w:cs="Times New Roman"/>
          <w:iCs/>
        </w:rPr>
        <w:t>“</w:t>
      </w:r>
      <w:r w:rsidR="003A7E82" w:rsidRPr="003A7E82">
        <w:rPr>
          <w:rFonts w:cs="Times New Roman"/>
          <w:i/>
          <w:iCs/>
        </w:rPr>
        <w:t>Guidelines: Procuremen</w:t>
      </w:r>
      <w:r w:rsidR="003A7E82">
        <w:rPr>
          <w:rFonts w:cs="Times New Roman"/>
          <w:i/>
          <w:iCs/>
        </w:rPr>
        <w:t>t under IBRD Loans and IDA Loans</w:t>
      </w:r>
      <w:r w:rsidR="00B33AD9">
        <w:rPr>
          <w:rFonts w:cs="Times New Roman"/>
          <w:i/>
          <w:iCs/>
        </w:rPr>
        <w:t>,</w:t>
      </w:r>
      <w:r w:rsidR="003A7E82">
        <w:rPr>
          <w:rFonts w:cs="Times New Roman"/>
          <w:i/>
          <w:iCs/>
        </w:rPr>
        <w:t>”</w:t>
      </w:r>
      <w:r w:rsidR="006C6321">
        <w:rPr>
          <w:rStyle w:val="FootnoteReference"/>
          <w:rFonts w:cs="Times New Roman"/>
          <w:iCs/>
        </w:rPr>
        <w:footnoteReference w:id="8"/>
      </w:r>
      <w:r w:rsidR="003A7E82" w:rsidRPr="003A7E82">
        <w:rPr>
          <w:rFonts w:cs="Times New Roman"/>
          <w:i/>
          <w:iCs/>
        </w:rPr>
        <w:t xml:space="preserve"> </w:t>
      </w:r>
      <w:r w:rsidR="003A7E82">
        <w:rPr>
          <w:rFonts w:cs="Times New Roman"/>
          <w:i/>
          <w:iCs/>
        </w:rPr>
        <w:t>“</w:t>
      </w:r>
      <w:r w:rsidR="003A7E82" w:rsidRPr="003A7E82">
        <w:rPr>
          <w:rFonts w:cs="Times New Roman"/>
          <w:i/>
          <w:iCs/>
        </w:rPr>
        <w:t>Guidelines: Selection and Employment of Consultants by World Bank Borrowers,</w:t>
      </w:r>
      <w:r w:rsidR="00B33AD9">
        <w:rPr>
          <w:rFonts w:cs="Times New Roman"/>
          <w:i/>
          <w:iCs/>
        </w:rPr>
        <w:t>”</w:t>
      </w:r>
      <w:r w:rsidR="006C6321">
        <w:rPr>
          <w:rStyle w:val="FootnoteReference"/>
          <w:rFonts w:cs="Times New Roman"/>
          <w:iCs/>
        </w:rPr>
        <w:footnoteReference w:id="9"/>
      </w:r>
      <w:r w:rsidRPr="00BD1B63">
        <w:rPr>
          <w:rFonts w:cs="Times New Roman"/>
          <w:iCs/>
        </w:rPr>
        <w:t xml:space="preserve"> and the provisions stipulated in the </w:t>
      </w:r>
      <w:r w:rsidR="003A7E82">
        <w:rPr>
          <w:rFonts w:cs="Times New Roman"/>
          <w:iCs/>
        </w:rPr>
        <w:t>corresponding Grant</w:t>
      </w:r>
      <w:r w:rsidRPr="00BD1B63">
        <w:rPr>
          <w:rFonts w:cs="Times New Roman"/>
          <w:iCs/>
        </w:rPr>
        <w:t xml:space="preserve"> Agreement. For each contract to be</w:t>
      </w:r>
      <w:r w:rsidR="003A7E82">
        <w:rPr>
          <w:rFonts w:cs="Times New Roman"/>
          <w:iCs/>
        </w:rPr>
        <w:t xml:space="preserve"> </w:t>
      </w:r>
      <w:r w:rsidRPr="00BD1B63">
        <w:rPr>
          <w:rFonts w:cs="Times New Roman"/>
          <w:iCs/>
        </w:rPr>
        <w:t xml:space="preserve">financed by the </w:t>
      </w:r>
      <w:r w:rsidR="00B1246E">
        <w:rPr>
          <w:rFonts w:cs="Times New Roman"/>
          <w:iCs/>
        </w:rPr>
        <w:t>grant</w:t>
      </w:r>
      <w:r w:rsidRPr="00BD1B63">
        <w:rPr>
          <w:rFonts w:cs="Times New Roman"/>
          <w:iCs/>
        </w:rPr>
        <w:t>, the different procurement methods or consultant selection methods, the</w:t>
      </w:r>
      <w:r w:rsidR="003A7E82">
        <w:rPr>
          <w:rFonts w:cs="Times New Roman"/>
          <w:iCs/>
        </w:rPr>
        <w:t xml:space="preserve"> </w:t>
      </w:r>
      <w:r w:rsidRPr="00BD1B63">
        <w:rPr>
          <w:rFonts w:cs="Times New Roman"/>
          <w:iCs/>
        </w:rPr>
        <w:t xml:space="preserve">need for prequalification, estimated costs, prior review requirements, and time frame </w:t>
      </w:r>
      <w:r w:rsidR="008E7CD4">
        <w:rPr>
          <w:rFonts w:cs="Times New Roman"/>
          <w:iCs/>
        </w:rPr>
        <w:t>will be</w:t>
      </w:r>
      <w:r w:rsidRPr="00BD1B63">
        <w:rPr>
          <w:rFonts w:cs="Times New Roman"/>
          <w:iCs/>
        </w:rPr>
        <w:t xml:space="preserve"> agreed</w:t>
      </w:r>
      <w:r w:rsidR="003A7E82">
        <w:rPr>
          <w:rFonts w:cs="Times New Roman"/>
          <w:iCs/>
        </w:rPr>
        <w:t xml:space="preserve"> </w:t>
      </w:r>
      <w:r w:rsidRPr="00BD1B63">
        <w:rPr>
          <w:rFonts w:cs="Times New Roman"/>
          <w:iCs/>
        </w:rPr>
        <w:t xml:space="preserve">between the </w:t>
      </w:r>
      <w:r w:rsidR="00B1246E">
        <w:rPr>
          <w:rFonts w:cs="Times New Roman"/>
          <w:iCs/>
        </w:rPr>
        <w:t xml:space="preserve">recipient </w:t>
      </w:r>
      <w:r w:rsidRPr="00BD1B63">
        <w:rPr>
          <w:rFonts w:cs="Times New Roman"/>
          <w:iCs/>
        </w:rPr>
        <w:t>and the Bank team in the Procurement Plan</w:t>
      </w:r>
      <w:r w:rsidR="003A7E82">
        <w:rPr>
          <w:rFonts w:cs="Times New Roman"/>
          <w:iCs/>
        </w:rPr>
        <w:t xml:space="preserve"> (submitted with the proposal)</w:t>
      </w:r>
      <w:r w:rsidRPr="00BD1B63">
        <w:rPr>
          <w:rFonts w:cs="Times New Roman"/>
          <w:iCs/>
        </w:rPr>
        <w:t xml:space="preserve">. </w:t>
      </w:r>
      <w:r w:rsidR="003A7E82">
        <w:rPr>
          <w:rFonts w:cs="Times New Roman"/>
          <w:iCs/>
        </w:rPr>
        <w:t>T</w:t>
      </w:r>
      <w:r w:rsidRPr="00BD1B63">
        <w:rPr>
          <w:rFonts w:cs="Times New Roman"/>
          <w:iCs/>
        </w:rPr>
        <w:t>he Procurement Plan</w:t>
      </w:r>
      <w:r w:rsidR="003A7E82">
        <w:rPr>
          <w:rFonts w:cs="Times New Roman"/>
          <w:iCs/>
        </w:rPr>
        <w:t xml:space="preserve"> </w:t>
      </w:r>
      <w:r w:rsidRPr="00BD1B63">
        <w:rPr>
          <w:rFonts w:cs="Times New Roman"/>
          <w:iCs/>
        </w:rPr>
        <w:t>would be updated</w:t>
      </w:r>
      <w:r w:rsidR="000D6487">
        <w:rPr>
          <w:rFonts w:cs="Times New Roman"/>
          <w:iCs/>
        </w:rPr>
        <w:t>,</w:t>
      </w:r>
      <w:r w:rsidRPr="00BD1B63">
        <w:rPr>
          <w:rFonts w:cs="Times New Roman"/>
          <w:iCs/>
        </w:rPr>
        <w:t xml:space="preserve"> as required</w:t>
      </w:r>
      <w:r w:rsidR="000D6487">
        <w:rPr>
          <w:rFonts w:cs="Times New Roman"/>
          <w:iCs/>
        </w:rPr>
        <w:t>,</w:t>
      </w:r>
      <w:r w:rsidRPr="00BD1B63">
        <w:rPr>
          <w:rFonts w:cs="Times New Roman"/>
          <w:iCs/>
        </w:rPr>
        <w:t xml:space="preserve"> to reflect the actual </w:t>
      </w:r>
      <w:r w:rsidR="003A7E82">
        <w:rPr>
          <w:rFonts w:cs="Times New Roman"/>
          <w:iCs/>
        </w:rPr>
        <w:t>grant</w:t>
      </w:r>
      <w:r w:rsidRPr="00BD1B63">
        <w:rPr>
          <w:rFonts w:cs="Times New Roman"/>
          <w:iCs/>
        </w:rPr>
        <w:t xml:space="preserve"> implementation</w:t>
      </w:r>
      <w:r w:rsidR="003A7E82">
        <w:rPr>
          <w:rFonts w:cs="Times New Roman"/>
          <w:iCs/>
        </w:rPr>
        <w:t>.</w:t>
      </w:r>
    </w:p>
    <w:p w:rsidR="000E75F9" w:rsidRDefault="000E75F9" w:rsidP="006C6321">
      <w:pPr>
        <w:pStyle w:val="FootnoteText"/>
        <w:keepNext/>
        <w:spacing w:before="240"/>
        <w:rPr>
          <w:rFonts w:cs="Times New Roman"/>
          <w:b/>
          <w:bCs/>
          <w:sz w:val="24"/>
          <w:szCs w:val="24"/>
        </w:rPr>
      </w:pPr>
      <w:r>
        <w:rPr>
          <w:rFonts w:cs="Times New Roman"/>
          <w:b/>
          <w:bCs/>
          <w:sz w:val="24"/>
          <w:szCs w:val="24"/>
        </w:rPr>
        <w:lastRenderedPageBreak/>
        <w:t>Results Framework, Monitoring and Evaluation</w:t>
      </w:r>
    </w:p>
    <w:p w:rsidR="000E75F9" w:rsidRDefault="000E75F9" w:rsidP="00BA4AF7">
      <w:pPr>
        <w:pStyle w:val="FootnoteText"/>
        <w:spacing w:before="240"/>
        <w:rPr>
          <w:rFonts w:cs="Times New Roman"/>
          <w:sz w:val="24"/>
          <w:szCs w:val="24"/>
        </w:rPr>
      </w:pPr>
      <w:r>
        <w:rPr>
          <w:rFonts w:cs="Times New Roman"/>
          <w:sz w:val="24"/>
          <w:szCs w:val="24"/>
        </w:rPr>
        <w:t>For the purposes of monitoring the progress towards achieving development objectives, annual progress reports will be developed by T</w:t>
      </w:r>
      <w:r w:rsidR="00AF2F50">
        <w:rPr>
          <w:rFonts w:cs="Times New Roman"/>
          <w:sz w:val="24"/>
          <w:szCs w:val="24"/>
        </w:rPr>
        <w:t>TL</w:t>
      </w:r>
      <w:r>
        <w:rPr>
          <w:rFonts w:cs="Times New Roman"/>
          <w:sz w:val="24"/>
          <w:szCs w:val="24"/>
        </w:rPr>
        <w:t xml:space="preserve">s </w:t>
      </w:r>
      <w:r w:rsidR="00447FF8">
        <w:rPr>
          <w:rFonts w:cs="Times New Roman"/>
          <w:sz w:val="24"/>
          <w:szCs w:val="24"/>
        </w:rPr>
        <w:t xml:space="preserve">of disbursing grants </w:t>
      </w:r>
      <w:r>
        <w:rPr>
          <w:rFonts w:cs="Times New Roman"/>
          <w:sz w:val="24"/>
          <w:szCs w:val="24"/>
        </w:rPr>
        <w:t xml:space="preserve">and submitted to the </w:t>
      </w:r>
      <w:r w:rsidR="00A077DF">
        <w:rPr>
          <w:rFonts w:cs="Times New Roman"/>
          <w:sz w:val="24"/>
          <w:szCs w:val="24"/>
        </w:rPr>
        <w:t>TF</w:t>
      </w:r>
      <w:r>
        <w:rPr>
          <w:rFonts w:cs="Times New Roman"/>
          <w:sz w:val="24"/>
          <w:szCs w:val="24"/>
        </w:rPr>
        <w:t xml:space="preserve"> </w:t>
      </w:r>
      <w:r w:rsidR="00127081">
        <w:rPr>
          <w:rFonts w:cs="Times New Roman"/>
          <w:sz w:val="24"/>
          <w:szCs w:val="24"/>
        </w:rPr>
        <w:t xml:space="preserve">Program </w:t>
      </w:r>
      <w:r>
        <w:rPr>
          <w:rFonts w:cs="Times New Roman"/>
          <w:sz w:val="24"/>
          <w:szCs w:val="24"/>
        </w:rPr>
        <w:t>Manager for review.</w:t>
      </w:r>
    </w:p>
    <w:p w:rsidR="000E75F9" w:rsidRDefault="00D64C29" w:rsidP="005D65FD">
      <w:pPr>
        <w:pStyle w:val="FootnoteText"/>
        <w:spacing w:before="240"/>
        <w:rPr>
          <w:rFonts w:cs="Times New Roman"/>
          <w:sz w:val="24"/>
          <w:szCs w:val="24"/>
        </w:rPr>
      </w:pPr>
      <w:r>
        <w:rPr>
          <w:rFonts w:cs="Times New Roman"/>
          <w:sz w:val="24"/>
          <w:szCs w:val="24"/>
        </w:rPr>
        <w:t>T</w:t>
      </w:r>
      <w:r w:rsidR="005D65FD" w:rsidRPr="005D65FD">
        <w:rPr>
          <w:rFonts w:cs="Times New Roman"/>
          <w:sz w:val="24"/>
          <w:szCs w:val="24"/>
        </w:rPr>
        <w:t xml:space="preserve">he recipient </w:t>
      </w:r>
      <w:r>
        <w:rPr>
          <w:rFonts w:cs="Times New Roman"/>
          <w:sz w:val="24"/>
          <w:szCs w:val="24"/>
        </w:rPr>
        <w:t xml:space="preserve">of project preparation grants should </w:t>
      </w:r>
      <w:r w:rsidR="005D65FD" w:rsidRPr="005D65FD">
        <w:rPr>
          <w:rFonts w:cs="Times New Roman"/>
          <w:sz w:val="24"/>
          <w:szCs w:val="24"/>
        </w:rPr>
        <w:t>submit Project Progress Reports semiannually. The TTL reviews</w:t>
      </w:r>
      <w:r w:rsidR="005D65FD">
        <w:rPr>
          <w:rFonts w:cs="Times New Roman"/>
          <w:sz w:val="24"/>
          <w:szCs w:val="24"/>
        </w:rPr>
        <w:t xml:space="preserve"> </w:t>
      </w:r>
      <w:r w:rsidR="000D6487">
        <w:rPr>
          <w:rFonts w:cs="Times New Roman"/>
          <w:sz w:val="24"/>
          <w:szCs w:val="24"/>
        </w:rPr>
        <w:t xml:space="preserve">the </w:t>
      </w:r>
      <w:r w:rsidR="005D65FD" w:rsidRPr="005D65FD">
        <w:rPr>
          <w:rFonts w:cs="Times New Roman"/>
          <w:sz w:val="24"/>
          <w:szCs w:val="24"/>
        </w:rPr>
        <w:t>Project Progress Reports to determine whether the implementation</w:t>
      </w:r>
      <w:r w:rsidR="005D65FD">
        <w:rPr>
          <w:rFonts w:cs="Times New Roman"/>
          <w:sz w:val="24"/>
          <w:szCs w:val="24"/>
        </w:rPr>
        <w:t xml:space="preserve"> arrangements </w:t>
      </w:r>
      <w:r w:rsidR="005D65FD" w:rsidRPr="005D65FD">
        <w:rPr>
          <w:rFonts w:cs="Times New Roman"/>
          <w:sz w:val="24"/>
          <w:szCs w:val="24"/>
        </w:rPr>
        <w:t>remain satisfactory and</w:t>
      </w:r>
      <w:r w:rsidR="005D65FD">
        <w:rPr>
          <w:rFonts w:cs="Times New Roman"/>
          <w:sz w:val="24"/>
          <w:szCs w:val="24"/>
        </w:rPr>
        <w:t xml:space="preserve"> </w:t>
      </w:r>
      <w:r w:rsidR="005D65FD" w:rsidRPr="005D65FD">
        <w:rPr>
          <w:rFonts w:cs="Times New Roman"/>
          <w:sz w:val="24"/>
          <w:szCs w:val="24"/>
        </w:rPr>
        <w:t>whether the recipient needs to implement any follow-up actions, including a timeline for their</w:t>
      </w:r>
      <w:r w:rsidR="005D65FD">
        <w:rPr>
          <w:rFonts w:cs="Times New Roman"/>
          <w:sz w:val="24"/>
          <w:szCs w:val="24"/>
        </w:rPr>
        <w:t xml:space="preserve"> </w:t>
      </w:r>
      <w:r w:rsidR="005D65FD" w:rsidRPr="005D65FD">
        <w:rPr>
          <w:rFonts w:cs="Times New Roman"/>
          <w:sz w:val="24"/>
          <w:szCs w:val="24"/>
        </w:rPr>
        <w:t>implementation.</w:t>
      </w:r>
      <w:r w:rsidR="005D65FD">
        <w:rPr>
          <w:rFonts w:cs="Times New Roman"/>
          <w:sz w:val="24"/>
          <w:szCs w:val="24"/>
        </w:rPr>
        <w:t xml:space="preserve"> T</w:t>
      </w:r>
      <w:r w:rsidR="000E75F9">
        <w:rPr>
          <w:rFonts w:cs="Times New Roman"/>
          <w:sz w:val="24"/>
          <w:szCs w:val="24"/>
        </w:rPr>
        <w:t xml:space="preserve">he </w:t>
      </w:r>
      <w:r w:rsidR="005D65FD">
        <w:rPr>
          <w:rFonts w:cs="Times New Roman"/>
          <w:sz w:val="24"/>
          <w:szCs w:val="24"/>
        </w:rPr>
        <w:t>TTL</w:t>
      </w:r>
      <w:r w:rsidR="000E75F9">
        <w:rPr>
          <w:rFonts w:cs="Times New Roman"/>
          <w:sz w:val="24"/>
          <w:szCs w:val="24"/>
        </w:rPr>
        <w:t xml:space="preserve"> will be responsible for preparing </w:t>
      </w:r>
      <w:r w:rsidR="005D65FD">
        <w:rPr>
          <w:rFonts w:cs="Times New Roman"/>
          <w:sz w:val="24"/>
          <w:szCs w:val="24"/>
        </w:rPr>
        <w:t xml:space="preserve">the </w:t>
      </w:r>
      <w:r w:rsidR="00573EC4">
        <w:rPr>
          <w:rFonts w:cs="Times New Roman"/>
          <w:sz w:val="24"/>
          <w:szCs w:val="24"/>
        </w:rPr>
        <w:t xml:space="preserve">first </w:t>
      </w:r>
      <w:r w:rsidR="005D65FD">
        <w:rPr>
          <w:rFonts w:cs="Times New Roman"/>
          <w:sz w:val="24"/>
          <w:szCs w:val="24"/>
        </w:rPr>
        <w:t>Implementation</w:t>
      </w:r>
      <w:r w:rsidR="000E75F9">
        <w:rPr>
          <w:rFonts w:cs="Times New Roman"/>
          <w:sz w:val="24"/>
          <w:szCs w:val="24"/>
        </w:rPr>
        <w:t xml:space="preserve"> </w:t>
      </w:r>
      <w:r w:rsidR="005D65FD">
        <w:rPr>
          <w:rFonts w:cs="Times New Roman"/>
          <w:sz w:val="24"/>
          <w:szCs w:val="24"/>
        </w:rPr>
        <w:t>S</w:t>
      </w:r>
      <w:r w:rsidR="000E75F9">
        <w:rPr>
          <w:rFonts w:cs="Times New Roman"/>
          <w:sz w:val="24"/>
          <w:szCs w:val="24"/>
        </w:rPr>
        <w:t>tatus</w:t>
      </w:r>
      <w:r w:rsidR="005D65FD">
        <w:rPr>
          <w:rFonts w:cs="Times New Roman"/>
          <w:sz w:val="24"/>
          <w:szCs w:val="24"/>
        </w:rPr>
        <w:t xml:space="preserve"> and Results</w:t>
      </w:r>
      <w:r w:rsidR="000E75F9">
        <w:rPr>
          <w:rFonts w:cs="Times New Roman"/>
          <w:sz w:val="24"/>
          <w:szCs w:val="24"/>
        </w:rPr>
        <w:t xml:space="preserve"> </w:t>
      </w:r>
      <w:r w:rsidR="005D65FD">
        <w:rPr>
          <w:rFonts w:cs="Times New Roman"/>
          <w:sz w:val="24"/>
          <w:szCs w:val="24"/>
        </w:rPr>
        <w:t>R</w:t>
      </w:r>
      <w:r w:rsidR="000E75F9">
        <w:rPr>
          <w:rFonts w:cs="Times New Roman"/>
          <w:sz w:val="24"/>
          <w:szCs w:val="24"/>
        </w:rPr>
        <w:t>eport</w:t>
      </w:r>
      <w:r w:rsidR="005D65FD">
        <w:rPr>
          <w:rFonts w:cs="Times New Roman"/>
          <w:sz w:val="24"/>
          <w:szCs w:val="24"/>
        </w:rPr>
        <w:t xml:space="preserve"> (ISR) </w:t>
      </w:r>
      <w:r w:rsidR="00573EC4">
        <w:rPr>
          <w:rFonts w:cs="Times New Roman"/>
          <w:sz w:val="24"/>
          <w:szCs w:val="24"/>
        </w:rPr>
        <w:t xml:space="preserve">within six month after grant approval, and as needed but at least once </w:t>
      </w:r>
      <w:r w:rsidR="005D65FD">
        <w:rPr>
          <w:rFonts w:cs="Times New Roman"/>
          <w:sz w:val="24"/>
          <w:szCs w:val="24"/>
        </w:rPr>
        <w:t>a year</w:t>
      </w:r>
      <w:r w:rsidR="00573EC4">
        <w:rPr>
          <w:rFonts w:cs="Times New Roman"/>
          <w:sz w:val="24"/>
          <w:szCs w:val="24"/>
        </w:rPr>
        <w:t xml:space="preserve"> thereafter. The ISR will</w:t>
      </w:r>
      <w:r w:rsidR="000E75F9">
        <w:rPr>
          <w:rFonts w:cs="Times New Roman"/>
          <w:sz w:val="24"/>
          <w:szCs w:val="24"/>
        </w:rPr>
        <w:t xml:space="preserve"> </w:t>
      </w:r>
      <w:r w:rsidR="00573EC4">
        <w:rPr>
          <w:rFonts w:cs="Times New Roman"/>
          <w:sz w:val="24"/>
          <w:szCs w:val="24"/>
        </w:rPr>
        <w:t xml:space="preserve">rate </w:t>
      </w:r>
      <w:r w:rsidR="000E75F9">
        <w:rPr>
          <w:rFonts w:cs="Times New Roman"/>
          <w:sz w:val="24"/>
          <w:szCs w:val="24"/>
        </w:rPr>
        <w:t>the st</w:t>
      </w:r>
      <w:r w:rsidR="005D65FD">
        <w:rPr>
          <w:rFonts w:cs="Times New Roman"/>
          <w:sz w:val="24"/>
          <w:szCs w:val="24"/>
        </w:rPr>
        <w:t>atus of grant implementation, update</w:t>
      </w:r>
      <w:r w:rsidR="00573EC4">
        <w:rPr>
          <w:rFonts w:cs="Times New Roman"/>
          <w:sz w:val="24"/>
          <w:szCs w:val="24"/>
        </w:rPr>
        <w:t xml:space="preserve"> </w:t>
      </w:r>
      <w:r w:rsidR="005D65FD">
        <w:rPr>
          <w:rFonts w:cs="Times New Roman"/>
          <w:sz w:val="24"/>
          <w:szCs w:val="24"/>
        </w:rPr>
        <w:t>risk</w:t>
      </w:r>
      <w:r w:rsidR="006C6321">
        <w:rPr>
          <w:rFonts w:cs="Times New Roman"/>
          <w:sz w:val="24"/>
          <w:szCs w:val="24"/>
        </w:rPr>
        <w:t xml:space="preserve"> rating</w:t>
      </w:r>
      <w:r w:rsidR="005D65FD">
        <w:rPr>
          <w:rFonts w:cs="Times New Roman"/>
          <w:sz w:val="24"/>
          <w:szCs w:val="24"/>
        </w:rPr>
        <w:t>s, and</w:t>
      </w:r>
      <w:r w:rsidR="000E75F9">
        <w:rPr>
          <w:rFonts w:cs="Times New Roman"/>
          <w:sz w:val="24"/>
          <w:szCs w:val="24"/>
        </w:rPr>
        <w:t xml:space="preserve"> document</w:t>
      </w:r>
      <w:r w:rsidR="00573EC4">
        <w:rPr>
          <w:rFonts w:cs="Times New Roman"/>
          <w:sz w:val="24"/>
          <w:szCs w:val="24"/>
        </w:rPr>
        <w:t xml:space="preserve"> </w:t>
      </w:r>
      <w:r w:rsidR="005D65FD">
        <w:rPr>
          <w:rFonts w:cs="Times New Roman"/>
          <w:sz w:val="24"/>
          <w:szCs w:val="24"/>
        </w:rPr>
        <w:t xml:space="preserve">completion of deliverables, </w:t>
      </w:r>
      <w:r w:rsidR="000E75F9">
        <w:rPr>
          <w:rFonts w:cs="Times New Roman"/>
          <w:sz w:val="24"/>
          <w:szCs w:val="24"/>
        </w:rPr>
        <w:t>outputs</w:t>
      </w:r>
      <w:r w:rsidR="005D65FD">
        <w:rPr>
          <w:rFonts w:cs="Times New Roman"/>
          <w:sz w:val="24"/>
          <w:szCs w:val="24"/>
        </w:rPr>
        <w:t xml:space="preserve"> and results</w:t>
      </w:r>
      <w:r w:rsidR="000E75F9">
        <w:rPr>
          <w:rFonts w:cs="Times New Roman"/>
          <w:sz w:val="24"/>
          <w:szCs w:val="24"/>
        </w:rPr>
        <w:t xml:space="preserve">. </w:t>
      </w:r>
      <w:r w:rsidR="005D65FD">
        <w:rPr>
          <w:rFonts w:cs="Times New Roman"/>
          <w:sz w:val="24"/>
          <w:szCs w:val="24"/>
        </w:rPr>
        <w:t>A</w:t>
      </w:r>
      <w:r w:rsidR="000E75F9">
        <w:rPr>
          <w:rFonts w:cs="Times New Roman"/>
          <w:sz w:val="24"/>
          <w:szCs w:val="24"/>
        </w:rPr>
        <w:t xml:space="preserve">n Implementation Completion </w:t>
      </w:r>
      <w:r w:rsidR="005D65FD">
        <w:rPr>
          <w:rFonts w:cs="Times New Roman"/>
          <w:sz w:val="24"/>
          <w:szCs w:val="24"/>
        </w:rPr>
        <w:t xml:space="preserve">and Results Report </w:t>
      </w:r>
      <w:r w:rsidR="000E75F9">
        <w:rPr>
          <w:rFonts w:cs="Times New Roman"/>
          <w:sz w:val="24"/>
          <w:szCs w:val="24"/>
        </w:rPr>
        <w:t>(IC</w:t>
      </w:r>
      <w:r w:rsidR="005D65FD">
        <w:rPr>
          <w:rFonts w:cs="Times New Roman"/>
          <w:sz w:val="24"/>
          <w:szCs w:val="24"/>
        </w:rPr>
        <w:t>R</w:t>
      </w:r>
      <w:r w:rsidR="000E75F9">
        <w:rPr>
          <w:rFonts w:cs="Times New Roman"/>
          <w:sz w:val="24"/>
          <w:szCs w:val="24"/>
        </w:rPr>
        <w:t>) will be prepared</w:t>
      </w:r>
      <w:r w:rsidR="006C6321">
        <w:rPr>
          <w:rFonts w:cs="Times New Roman"/>
          <w:sz w:val="24"/>
          <w:szCs w:val="24"/>
        </w:rPr>
        <w:t xml:space="preserve">, </w:t>
      </w:r>
      <w:r w:rsidR="006C6321" w:rsidRPr="006C6321">
        <w:rPr>
          <w:rFonts w:cs="Times New Roman"/>
          <w:sz w:val="24"/>
          <w:szCs w:val="24"/>
        </w:rPr>
        <w:t xml:space="preserve">depending on the size of </w:t>
      </w:r>
      <w:r w:rsidR="006C6321">
        <w:rPr>
          <w:rFonts w:cs="Times New Roman"/>
          <w:sz w:val="24"/>
          <w:szCs w:val="24"/>
        </w:rPr>
        <w:t xml:space="preserve">the grant </w:t>
      </w:r>
      <w:r w:rsidR="006C6321" w:rsidRPr="006C6321">
        <w:rPr>
          <w:rFonts w:cs="Times New Roman"/>
          <w:sz w:val="24"/>
          <w:szCs w:val="24"/>
        </w:rPr>
        <w:t>and using the corresponding Guidance</w:t>
      </w:r>
      <w:r w:rsidR="006C6321">
        <w:rPr>
          <w:rFonts w:cs="Times New Roman"/>
          <w:sz w:val="24"/>
          <w:szCs w:val="24"/>
        </w:rPr>
        <w:t>,</w:t>
      </w:r>
      <w:r w:rsidR="006C6321" w:rsidRPr="006C6321">
        <w:rPr>
          <w:rFonts w:cs="Times New Roman"/>
          <w:sz w:val="24"/>
          <w:szCs w:val="24"/>
        </w:rPr>
        <w:t xml:space="preserve"> </w:t>
      </w:r>
      <w:r w:rsidR="005D65FD">
        <w:rPr>
          <w:rFonts w:cs="Times New Roman"/>
          <w:sz w:val="24"/>
          <w:szCs w:val="24"/>
        </w:rPr>
        <w:t xml:space="preserve">by the </w:t>
      </w:r>
      <w:r w:rsidR="005D65FD" w:rsidRPr="005D65FD">
        <w:rPr>
          <w:rFonts w:cs="Times New Roman"/>
          <w:sz w:val="24"/>
          <w:szCs w:val="24"/>
        </w:rPr>
        <w:t>TTL (in consultation with recipient)</w:t>
      </w:r>
      <w:r w:rsidR="005D65FD">
        <w:rPr>
          <w:rFonts w:cs="Times New Roman"/>
          <w:sz w:val="24"/>
          <w:szCs w:val="24"/>
        </w:rPr>
        <w:t xml:space="preserve"> </w:t>
      </w:r>
      <w:r w:rsidR="000E75F9">
        <w:rPr>
          <w:rFonts w:cs="Times New Roman"/>
          <w:sz w:val="24"/>
          <w:szCs w:val="24"/>
        </w:rPr>
        <w:t>upon completion of grant financed activities.</w:t>
      </w:r>
    </w:p>
    <w:p w:rsidR="007F1C01" w:rsidRDefault="000E75F9" w:rsidP="00AF2F50">
      <w:pPr>
        <w:spacing w:before="240"/>
        <w:rPr>
          <w:rFonts w:cs="Times New Roman"/>
        </w:rPr>
      </w:pPr>
      <w:r>
        <w:rPr>
          <w:rFonts w:cs="Times New Roman"/>
        </w:rPr>
        <w:t>As specified in the Administration Agreement,</w:t>
      </w:r>
      <w:r>
        <w:rPr>
          <w:rFonts w:cs="Times New Roman"/>
          <w:b/>
          <w:bCs/>
        </w:rPr>
        <w:t xml:space="preserve"> </w:t>
      </w:r>
      <w:r>
        <w:rPr>
          <w:rFonts w:cs="Times New Roman"/>
        </w:rPr>
        <w:t xml:space="preserve">the </w:t>
      </w:r>
      <w:r w:rsidR="001E5C64">
        <w:rPr>
          <w:rFonts w:cs="Times New Roman"/>
        </w:rPr>
        <w:t>Bank</w:t>
      </w:r>
      <w:r>
        <w:rPr>
          <w:rFonts w:cs="Times New Roman"/>
        </w:rPr>
        <w:t xml:space="preserve"> </w:t>
      </w:r>
      <w:r w:rsidR="003D2914">
        <w:rPr>
          <w:rFonts w:cs="Times New Roman"/>
        </w:rPr>
        <w:t>will</w:t>
      </w:r>
      <w:r>
        <w:rPr>
          <w:rFonts w:cs="Times New Roman"/>
        </w:rPr>
        <w:t xml:space="preserve"> provide the Donors with an annual report on the progress of activities financed by their contributions.</w:t>
      </w:r>
      <w:r w:rsidR="00364726">
        <w:rPr>
          <w:rFonts w:cs="Times New Roman"/>
        </w:rPr>
        <w:t xml:space="preserve"> </w:t>
      </w:r>
      <w:r w:rsidR="003D0615" w:rsidRPr="003D0615">
        <w:rPr>
          <w:rFonts w:cs="Times New Roman"/>
        </w:rPr>
        <w:t xml:space="preserve">The Program Manager will </w:t>
      </w:r>
      <w:r w:rsidR="003D0615">
        <w:rPr>
          <w:rFonts w:cs="Times New Roman"/>
        </w:rPr>
        <w:t>submit such annual report</w:t>
      </w:r>
      <w:r w:rsidR="003D0615" w:rsidRPr="003D0615">
        <w:rPr>
          <w:rFonts w:cs="Times New Roman"/>
        </w:rPr>
        <w:t xml:space="preserve"> to the Steering Committee. </w:t>
      </w:r>
      <w:r>
        <w:rPr>
          <w:rFonts w:cs="Times New Roman"/>
        </w:rPr>
        <w:t xml:space="preserve">Within six (6) months of the final disbursement date, the Bank </w:t>
      </w:r>
      <w:r w:rsidR="003D2914">
        <w:rPr>
          <w:rFonts w:cs="Times New Roman"/>
        </w:rPr>
        <w:t>will</w:t>
      </w:r>
      <w:r>
        <w:rPr>
          <w:rFonts w:cs="Times New Roman"/>
        </w:rPr>
        <w:t xml:space="preserve"> furnish to the Donors a final report on the activities financed by the T</w:t>
      </w:r>
      <w:r w:rsidR="007B427D">
        <w:rPr>
          <w:rFonts w:cs="Times New Roman"/>
        </w:rPr>
        <w:t>F</w:t>
      </w:r>
      <w:r w:rsidR="007F1C01">
        <w:rPr>
          <w:rFonts w:cs="Times New Roman"/>
        </w:rPr>
        <w:t>.</w:t>
      </w:r>
    </w:p>
    <w:sectPr w:rsidR="007F1C01" w:rsidSect="006A50CB">
      <w:headerReference w:type="default" r:id="rId13"/>
      <w:footerReference w:type="default" r:id="rId14"/>
      <w:pgSz w:w="12240" w:h="15840"/>
      <w:pgMar w:top="1134" w:right="850" w:bottom="720"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E6" w:rsidRDefault="00033EE6">
      <w:pPr>
        <w:rPr>
          <w:rFonts w:cs="Times New Roman"/>
        </w:rPr>
      </w:pPr>
      <w:r>
        <w:rPr>
          <w:rFonts w:cs="Times New Roman"/>
        </w:rPr>
        <w:separator/>
      </w:r>
    </w:p>
  </w:endnote>
  <w:endnote w:type="continuationSeparator" w:id="0">
    <w:p w:rsidR="00033EE6" w:rsidRDefault="00033EE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95479"/>
      <w:docPartObj>
        <w:docPartGallery w:val="Page Numbers (Bottom of Page)"/>
        <w:docPartUnique/>
      </w:docPartObj>
    </w:sdtPr>
    <w:sdtContent>
      <w:p w:rsidR="002E1F70" w:rsidRDefault="00EC3F52">
        <w:pPr>
          <w:pStyle w:val="Footer"/>
          <w:jc w:val="right"/>
        </w:pPr>
        <w:r>
          <w:fldChar w:fldCharType="begin"/>
        </w:r>
        <w:r w:rsidR="00C727E0">
          <w:instrText xml:space="preserve"> PAGE   \* MERGEFORMAT </w:instrText>
        </w:r>
        <w:r>
          <w:fldChar w:fldCharType="separate"/>
        </w:r>
        <w:r w:rsidR="00712A8A">
          <w:rPr>
            <w:noProof/>
          </w:rPr>
          <w:t>4</w:t>
        </w:r>
        <w:r>
          <w:rPr>
            <w:noProof/>
          </w:rPr>
          <w:fldChar w:fldCharType="end"/>
        </w:r>
      </w:p>
    </w:sdtContent>
  </w:sdt>
  <w:p w:rsidR="002E1F70" w:rsidRDefault="002E1F7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E6" w:rsidRDefault="00033EE6">
      <w:pPr>
        <w:rPr>
          <w:rFonts w:cs="Times New Roman"/>
        </w:rPr>
      </w:pPr>
      <w:r>
        <w:rPr>
          <w:rFonts w:cs="Times New Roman"/>
        </w:rPr>
        <w:separator/>
      </w:r>
    </w:p>
  </w:footnote>
  <w:footnote w:type="continuationSeparator" w:id="0">
    <w:p w:rsidR="00033EE6" w:rsidRDefault="00033EE6">
      <w:pPr>
        <w:rPr>
          <w:rFonts w:cs="Times New Roman"/>
        </w:rPr>
      </w:pPr>
      <w:r>
        <w:rPr>
          <w:rFonts w:cs="Times New Roman"/>
        </w:rPr>
        <w:continuationSeparator/>
      </w:r>
    </w:p>
  </w:footnote>
  <w:footnote w:id="1">
    <w:p w:rsidR="002E1F70" w:rsidRDefault="002E1F70">
      <w:pPr>
        <w:pStyle w:val="FootnoteText"/>
      </w:pPr>
      <w:r>
        <w:rPr>
          <w:rStyle w:val="FootnoteReference"/>
        </w:rPr>
        <w:footnoteRef/>
      </w:r>
      <w:r>
        <w:t xml:space="preserve"> T</w:t>
      </w:r>
      <w:r w:rsidRPr="00871BE0">
        <w:t>he Bank</w:t>
      </w:r>
      <w:r>
        <w:t>, with the absence of objection by the Steering Committee,</w:t>
      </w:r>
      <w:r w:rsidRPr="00871BE0">
        <w:t xml:space="preserve"> may consider waiving the requirement for recipient execution in exceptional circumstances in accordance with Bank policy (OP14.40), for instance in a new member country or following civil strife or an emergency, or if a grant is being p</w:t>
      </w:r>
      <w:r>
        <w:t>ropos</w:t>
      </w:r>
      <w:r w:rsidRPr="00871BE0">
        <w:t>ed for preparation of a regional operation.</w:t>
      </w:r>
    </w:p>
  </w:footnote>
  <w:footnote w:id="2">
    <w:p w:rsidR="002E1F70" w:rsidRPr="00EC7AA2" w:rsidRDefault="002E1F70">
      <w:pPr>
        <w:pStyle w:val="FootnoteText"/>
      </w:pPr>
      <w:r>
        <w:rPr>
          <w:rStyle w:val="FootnoteReference"/>
        </w:rPr>
        <w:footnoteRef/>
      </w:r>
      <w:r>
        <w:t xml:space="preserve"> </w:t>
      </w:r>
      <w:proofErr w:type="gramStart"/>
      <w:r>
        <w:t>According to the Atlas method.</w:t>
      </w:r>
      <w:proofErr w:type="gramEnd"/>
    </w:p>
  </w:footnote>
  <w:footnote w:id="3">
    <w:p w:rsidR="00F210A8" w:rsidRDefault="00F210A8">
      <w:pPr>
        <w:pStyle w:val="FootnoteText"/>
      </w:pPr>
      <w:r>
        <w:rPr>
          <w:rStyle w:val="FootnoteReference"/>
        </w:rPr>
        <w:footnoteRef/>
      </w:r>
      <w:r>
        <w:t xml:space="preserve"> </w:t>
      </w:r>
      <w:r w:rsidRPr="00F210A8">
        <w:t xml:space="preserve">The governance structure </w:t>
      </w:r>
      <w:r>
        <w:t xml:space="preserve">of the ECAPDEV TF </w:t>
      </w:r>
      <w:r w:rsidRPr="00F210A8">
        <w:t>has three main elements: a Steering Committee responsible for high level oversight</w:t>
      </w:r>
      <w:r>
        <w:t xml:space="preserve"> and final approval of the grants </w:t>
      </w:r>
      <w:r w:rsidRPr="00F210A8">
        <w:t xml:space="preserve">(composed of representatives of the Russian Government and the Bank with an observer from the ACF); a Project Team </w:t>
      </w:r>
      <w:r>
        <w:t xml:space="preserve">Committee </w:t>
      </w:r>
      <w:r w:rsidRPr="00F210A8">
        <w:t>(chaired by the Director of Operational Services and Quality for ECA and composed of representatives from each of the ECA Departments of the Bank with an observer from the ACF)</w:t>
      </w:r>
      <w:r>
        <w:t xml:space="preserve"> </w:t>
      </w:r>
      <w:r w:rsidRPr="00F210A8">
        <w:t xml:space="preserve">primarily responsible for review and prioritization of grant proposals; and a Program Manager responsible for day-to-day program management of </w:t>
      </w:r>
      <w:r>
        <w:t>the TF.</w:t>
      </w:r>
    </w:p>
  </w:footnote>
  <w:footnote w:id="4">
    <w:p w:rsidR="002E1F70" w:rsidRDefault="002E1F70">
      <w:pPr>
        <w:pStyle w:val="FootnoteText"/>
      </w:pPr>
      <w:r>
        <w:rPr>
          <w:rStyle w:val="FootnoteReference"/>
        </w:rPr>
        <w:footnoteRef/>
      </w:r>
      <w:r>
        <w:t xml:space="preserve"> </w:t>
      </w:r>
      <w:r w:rsidRPr="001434E8">
        <w:t xml:space="preserve">In line with the corresponding country financing parameters established in accordance with OP/BP 6.00 Bank Financing </w:t>
      </w:r>
      <w:r>
        <w:t xml:space="preserve">(dated April 2004 and as subsequently amended) </w:t>
      </w:r>
      <w:r w:rsidRPr="001434E8">
        <w:t>and related memoranda.</w:t>
      </w:r>
    </w:p>
  </w:footnote>
  <w:footnote w:id="5">
    <w:p w:rsidR="002E1F70" w:rsidRPr="006C6321" w:rsidRDefault="002E1F70" w:rsidP="00B33AD9">
      <w:pPr>
        <w:pStyle w:val="FootnoteText"/>
      </w:pPr>
      <w:r>
        <w:rPr>
          <w:rStyle w:val="FootnoteReference"/>
        </w:rPr>
        <w:footnoteRef/>
      </w:r>
      <w:r>
        <w:t xml:space="preserve"> </w:t>
      </w:r>
      <w:r>
        <w:rPr>
          <w:iCs/>
        </w:rPr>
        <w:t>D</w:t>
      </w:r>
      <w:r w:rsidRPr="00B33AD9">
        <w:rPr>
          <w:iCs/>
        </w:rPr>
        <w:t>ated January 2011</w:t>
      </w:r>
      <w:r>
        <w:rPr>
          <w:iCs/>
        </w:rPr>
        <w:t>a</w:t>
      </w:r>
      <w:r w:rsidRPr="006C6321">
        <w:t>nd as subsequently amended.</w:t>
      </w:r>
    </w:p>
  </w:footnote>
  <w:footnote w:id="6">
    <w:p w:rsidR="002E1F70" w:rsidRDefault="002E1F70">
      <w:pPr>
        <w:pStyle w:val="FootnoteText"/>
      </w:pPr>
      <w:r>
        <w:rPr>
          <w:rStyle w:val="FootnoteReference"/>
        </w:rPr>
        <w:footnoteRef/>
      </w:r>
      <w:r>
        <w:t xml:space="preserve"> </w:t>
      </w:r>
      <w:proofErr w:type="gramStart"/>
      <w:r w:rsidRPr="004D09F2">
        <w:rPr>
          <w:iCs/>
        </w:rPr>
        <w:t xml:space="preserve">Dated </w:t>
      </w:r>
      <w:r>
        <w:rPr>
          <w:iCs/>
        </w:rPr>
        <w:t>April</w:t>
      </w:r>
      <w:r w:rsidRPr="004D09F2">
        <w:rPr>
          <w:iCs/>
        </w:rPr>
        <w:t xml:space="preserve"> 20</w:t>
      </w:r>
      <w:r>
        <w:rPr>
          <w:iCs/>
        </w:rPr>
        <w:t xml:space="preserve">04 </w:t>
      </w:r>
      <w:r w:rsidRPr="004D09F2">
        <w:rPr>
          <w:iCs/>
        </w:rPr>
        <w:t>a</w:t>
      </w:r>
      <w:r w:rsidRPr="004D09F2">
        <w:t>nd as subsequently amended.</w:t>
      </w:r>
      <w:proofErr w:type="gramEnd"/>
    </w:p>
  </w:footnote>
  <w:footnote w:id="7">
    <w:p w:rsidR="002E1F70" w:rsidRPr="00E1210C" w:rsidRDefault="002E1F70" w:rsidP="006C6583">
      <w:pPr>
        <w:pStyle w:val="FootnoteText"/>
      </w:pPr>
      <w:r>
        <w:rPr>
          <w:rStyle w:val="FootnoteReference"/>
        </w:rPr>
        <w:footnoteRef/>
      </w:r>
      <w:r>
        <w:t xml:space="preserve"> </w:t>
      </w:r>
      <w:r w:rsidRPr="00E1210C">
        <w:t xml:space="preserve">Project implementation units, office facilities, rent, secretarial services, transportation, electricity, water, telephone, staff salaries, and other backstopping and recurrent activities </w:t>
      </w:r>
      <w:r>
        <w:t>sh</w:t>
      </w:r>
      <w:r w:rsidRPr="00E1210C">
        <w:t xml:space="preserve">ould </w:t>
      </w:r>
      <w:r>
        <w:t xml:space="preserve">normally </w:t>
      </w:r>
      <w:r w:rsidRPr="00E1210C">
        <w:t xml:space="preserve">be part of the local counterpart funding. In addition, at the discretion of the </w:t>
      </w:r>
      <w:r>
        <w:t>Steering Committee</w:t>
      </w:r>
      <w:r w:rsidRPr="00E1210C">
        <w:t>, if the grant recipient is an entity with no previous experience with World Bank procedures, a small amount of the grant may be used to finance the cost of consultants to carry out project financial management and procurement for a period not to exceed six months over the life of the grant.</w:t>
      </w:r>
    </w:p>
  </w:footnote>
  <w:footnote w:id="8">
    <w:p w:rsidR="002E1F70" w:rsidRPr="00B33AD9" w:rsidRDefault="002E1F70">
      <w:pPr>
        <w:pStyle w:val="FootnoteText"/>
      </w:pPr>
      <w:r>
        <w:rPr>
          <w:rStyle w:val="FootnoteReference"/>
        </w:rPr>
        <w:footnoteRef/>
      </w:r>
      <w:r>
        <w:t xml:space="preserve"> </w:t>
      </w:r>
      <w:proofErr w:type="gramStart"/>
      <w:r w:rsidRPr="00B33AD9">
        <w:rPr>
          <w:iCs/>
        </w:rPr>
        <w:t>Dated January 2011 a</w:t>
      </w:r>
      <w:r w:rsidRPr="00B33AD9">
        <w:t>nd as subsequently amended.</w:t>
      </w:r>
      <w:proofErr w:type="gramEnd"/>
    </w:p>
  </w:footnote>
  <w:footnote w:id="9">
    <w:p w:rsidR="002E1F70" w:rsidRPr="006C6321" w:rsidRDefault="002E1F70">
      <w:pPr>
        <w:pStyle w:val="FootnoteText"/>
      </w:pPr>
      <w:r>
        <w:rPr>
          <w:rStyle w:val="FootnoteReference"/>
        </w:rPr>
        <w:footnoteRef/>
      </w:r>
      <w:r>
        <w:t xml:space="preserve"> </w:t>
      </w:r>
      <w:proofErr w:type="gramStart"/>
      <w:r>
        <w:rPr>
          <w:iCs/>
        </w:rPr>
        <w:t>D</w:t>
      </w:r>
      <w:r w:rsidRPr="00B33AD9">
        <w:rPr>
          <w:iCs/>
        </w:rPr>
        <w:t>ated January 20</w:t>
      </w:r>
      <w:r>
        <w:rPr>
          <w:iCs/>
        </w:rPr>
        <w:t>1</w:t>
      </w:r>
      <w:r w:rsidRPr="00B33AD9">
        <w:rPr>
          <w:iCs/>
        </w:rPr>
        <w:t>1</w:t>
      </w:r>
      <w:r>
        <w:rPr>
          <w:iCs/>
        </w:rPr>
        <w:t xml:space="preserve"> a</w:t>
      </w:r>
      <w:r w:rsidRPr="006C6321">
        <w:t>nd as subsequently amended.</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70" w:rsidRDefault="002E1F70">
    <w:pPr>
      <w:pStyle w:val="Header"/>
      <w:pBdr>
        <w:bottom w:val="single" w:sz="4" w:space="1" w:color="auto"/>
      </w:pBdr>
      <w:jc w:val="right"/>
      <w:rPr>
        <w:rFonts w:cs="Times New Roman"/>
        <w:i/>
        <w:iCs/>
        <w:sz w:val="22"/>
        <w:szCs w:val="22"/>
      </w:rPr>
    </w:pPr>
    <w:r>
      <w:rPr>
        <w:rFonts w:cs="Times New Roman"/>
        <w:i/>
        <w:iCs/>
        <w:sz w:val="22"/>
        <w:szCs w:val="22"/>
      </w:rPr>
      <w:t xml:space="preserve"> July 16,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28E"/>
    <w:multiLevelType w:val="multilevel"/>
    <w:tmpl w:val="E6562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F152AA"/>
    <w:multiLevelType w:val="multilevel"/>
    <w:tmpl w:val="31784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1B1A34"/>
    <w:multiLevelType w:val="multilevel"/>
    <w:tmpl w:val="FA88E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4F7D41"/>
    <w:multiLevelType w:val="multilevel"/>
    <w:tmpl w:val="E3BADB1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A54636C"/>
    <w:multiLevelType w:val="hybridMultilevel"/>
    <w:tmpl w:val="D6DC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4F7FEF"/>
    <w:multiLevelType w:val="multilevel"/>
    <w:tmpl w:val="AB8CB3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F934B8"/>
    <w:multiLevelType w:val="hybridMultilevel"/>
    <w:tmpl w:val="AB36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8A62642">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D7738"/>
    <w:multiLevelType w:val="hybridMultilevel"/>
    <w:tmpl w:val="9D322364"/>
    <w:lvl w:ilvl="0" w:tplc="5ADC3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275B0"/>
    <w:multiLevelType w:val="multilevel"/>
    <w:tmpl w:val="EBF23E5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453ED3"/>
    <w:multiLevelType w:val="multilevel"/>
    <w:tmpl w:val="867AA0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C01B8E"/>
    <w:multiLevelType w:val="hybridMultilevel"/>
    <w:tmpl w:val="4DBED50A"/>
    <w:lvl w:ilvl="0" w:tplc="894A3B52">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6F60904"/>
    <w:multiLevelType w:val="hybridMultilevel"/>
    <w:tmpl w:val="98989834"/>
    <w:lvl w:ilvl="0" w:tplc="05528EB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676BD3"/>
    <w:multiLevelType w:val="multilevel"/>
    <w:tmpl w:val="9EE2D586"/>
    <w:lvl w:ilvl="0">
      <w:start w:val="1"/>
      <w:numFmt w:val="lowerLetter"/>
      <w:lvlText w:val="(%1)"/>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A03F22"/>
    <w:multiLevelType w:val="multilevel"/>
    <w:tmpl w:val="E398DB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021FC5"/>
    <w:multiLevelType w:val="multilevel"/>
    <w:tmpl w:val="FAF88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6D6D39"/>
    <w:multiLevelType w:val="multilevel"/>
    <w:tmpl w:val="CC16ECD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2343E17"/>
    <w:multiLevelType w:val="multilevel"/>
    <w:tmpl w:val="8696B8B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911289"/>
    <w:multiLevelType w:val="multilevel"/>
    <w:tmpl w:val="715EA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7131440"/>
    <w:multiLevelType w:val="multilevel"/>
    <w:tmpl w:val="1514246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5F683D"/>
    <w:multiLevelType w:val="multilevel"/>
    <w:tmpl w:val="6F0EE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7C2599D"/>
    <w:multiLevelType w:val="hybridMultilevel"/>
    <w:tmpl w:val="09FC5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491568"/>
    <w:multiLevelType w:val="multilevel"/>
    <w:tmpl w:val="E5FA5A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9F420F"/>
    <w:multiLevelType w:val="multilevel"/>
    <w:tmpl w:val="E40E8EC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3D1A491B"/>
    <w:multiLevelType w:val="multilevel"/>
    <w:tmpl w:val="9412DC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EE0FAA"/>
    <w:multiLevelType w:val="multilevel"/>
    <w:tmpl w:val="BAFE5C7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63D66BD"/>
    <w:multiLevelType w:val="hybridMultilevel"/>
    <w:tmpl w:val="D4FECFF0"/>
    <w:lvl w:ilvl="0" w:tplc="8D08E7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D024DA"/>
    <w:multiLevelType w:val="multilevel"/>
    <w:tmpl w:val="16D8D2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DE506FC"/>
    <w:multiLevelType w:val="multilevel"/>
    <w:tmpl w:val="9604C5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7581504"/>
    <w:multiLevelType w:val="multilevel"/>
    <w:tmpl w:val="D952DA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9096C5B"/>
    <w:multiLevelType w:val="multilevel"/>
    <w:tmpl w:val="5E262CD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430310"/>
    <w:multiLevelType w:val="multilevel"/>
    <w:tmpl w:val="56A66F94"/>
    <w:lvl w:ilvl="0">
      <w:numFmt w:val="bullet"/>
      <w:lvlText w:val="-"/>
      <w:lvlJc w:val="left"/>
      <w:pPr>
        <w:ind w:left="420" w:hanging="360"/>
      </w:pPr>
      <w:rPr>
        <w:rFont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31">
    <w:nsid w:val="5D36313C"/>
    <w:multiLevelType w:val="multilevel"/>
    <w:tmpl w:val="283C0EEE"/>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5FF209BB"/>
    <w:multiLevelType w:val="multilevel"/>
    <w:tmpl w:val="D6B8F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8A31541"/>
    <w:multiLevelType w:val="multilevel"/>
    <w:tmpl w:val="8E5E23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C7C24F3"/>
    <w:multiLevelType w:val="hybridMultilevel"/>
    <w:tmpl w:val="24E02AEC"/>
    <w:lvl w:ilvl="0" w:tplc="3F74D0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D127C"/>
    <w:multiLevelType w:val="hybridMultilevel"/>
    <w:tmpl w:val="A06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C304D"/>
    <w:multiLevelType w:val="multilevel"/>
    <w:tmpl w:val="854065CE"/>
    <w:lvl w:ilvl="0">
      <w:numFmt w:val="bullet"/>
      <w:lvlText w:val="-"/>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nsid w:val="72D05D27"/>
    <w:multiLevelType w:val="multilevel"/>
    <w:tmpl w:val="D0BE8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62403E4"/>
    <w:multiLevelType w:val="multilevel"/>
    <w:tmpl w:val="E200BFC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AF600E9"/>
    <w:multiLevelType w:val="multilevel"/>
    <w:tmpl w:val="2648247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B1B1106"/>
    <w:multiLevelType w:val="multilevel"/>
    <w:tmpl w:val="82C2E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24"/>
  </w:num>
  <w:num w:numId="3">
    <w:abstractNumId w:val="33"/>
  </w:num>
  <w:num w:numId="4">
    <w:abstractNumId w:val="27"/>
  </w:num>
  <w:num w:numId="5">
    <w:abstractNumId w:val="15"/>
  </w:num>
  <w:num w:numId="6">
    <w:abstractNumId w:val="36"/>
  </w:num>
  <w:num w:numId="7">
    <w:abstractNumId w:val="22"/>
  </w:num>
  <w:num w:numId="8">
    <w:abstractNumId w:val="3"/>
  </w:num>
  <w:num w:numId="9">
    <w:abstractNumId w:val="16"/>
  </w:num>
  <w:num w:numId="10">
    <w:abstractNumId w:val="31"/>
  </w:num>
  <w:num w:numId="11">
    <w:abstractNumId w:val="21"/>
  </w:num>
  <w:num w:numId="12">
    <w:abstractNumId w:val="37"/>
  </w:num>
  <w:num w:numId="13">
    <w:abstractNumId w:val="5"/>
  </w:num>
  <w:num w:numId="14">
    <w:abstractNumId w:val="19"/>
  </w:num>
  <w:num w:numId="15">
    <w:abstractNumId w:val="30"/>
  </w:num>
  <w:num w:numId="16">
    <w:abstractNumId w:val="40"/>
  </w:num>
  <w:num w:numId="17">
    <w:abstractNumId w:val="0"/>
  </w:num>
  <w:num w:numId="18">
    <w:abstractNumId w:val="23"/>
  </w:num>
  <w:num w:numId="19">
    <w:abstractNumId w:val="26"/>
  </w:num>
  <w:num w:numId="20">
    <w:abstractNumId w:val="32"/>
  </w:num>
  <w:num w:numId="21">
    <w:abstractNumId w:val="17"/>
  </w:num>
  <w:num w:numId="22">
    <w:abstractNumId w:val="2"/>
  </w:num>
  <w:num w:numId="23">
    <w:abstractNumId w:val="13"/>
  </w:num>
  <w:num w:numId="24">
    <w:abstractNumId w:val="9"/>
  </w:num>
  <w:num w:numId="25">
    <w:abstractNumId w:val="14"/>
  </w:num>
  <w:num w:numId="26">
    <w:abstractNumId w:val="8"/>
  </w:num>
  <w:num w:numId="27">
    <w:abstractNumId w:val="39"/>
  </w:num>
  <w:num w:numId="28">
    <w:abstractNumId w:val="18"/>
  </w:num>
  <w:num w:numId="29">
    <w:abstractNumId w:val="38"/>
  </w:num>
  <w:num w:numId="30">
    <w:abstractNumId w:val="1"/>
  </w:num>
  <w:num w:numId="31">
    <w:abstractNumId w:val="11"/>
  </w:num>
  <w:num w:numId="32">
    <w:abstractNumId w:val="10"/>
  </w:num>
  <w:num w:numId="33">
    <w:abstractNumId w:val="7"/>
  </w:num>
  <w:num w:numId="34">
    <w:abstractNumId w:val="35"/>
  </w:num>
  <w:num w:numId="35">
    <w:abstractNumId w:val="25"/>
  </w:num>
  <w:num w:numId="36">
    <w:abstractNumId w:val="20"/>
  </w:num>
  <w:num w:numId="37">
    <w:abstractNumId w:val="4"/>
  </w:num>
  <w:num w:numId="38">
    <w:abstractNumId w:val="12"/>
  </w:num>
  <w:num w:numId="39">
    <w:abstractNumId w:val="29"/>
  </w:num>
  <w:num w:numId="40">
    <w:abstractNumId w:val="34"/>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adjustLineHeightInTable/>
    <w:useFELayout/>
  </w:compat>
  <w:rsids>
    <w:rsidRoot w:val="000E75F9"/>
    <w:rsid w:val="000024EA"/>
    <w:rsid w:val="00012959"/>
    <w:rsid w:val="00012F31"/>
    <w:rsid w:val="00025CAE"/>
    <w:rsid w:val="000339E7"/>
    <w:rsid w:val="00033EE6"/>
    <w:rsid w:val="00053A36"/>
    <w:rsid w:val="000624B5"/>
    <w:rsid w:val="00064919"/>
    <w:rsid w:val="00070E4B"/>
    <w:rsid w:val="00073A57"/>
    <w:rsid w:val="00091BA3"/>
    <w:rsid w:val="000C5D75"/>
    <w:rsid w:val="000D6487"/>
    <w:rsid w:val="000E2E79"/>
    <w:rsid w:val="000E528D"/>
    <w:rsid w:val="000E75F9"/>
    <w:rsid w:val="000F51CA"/>
    <w:rsid w:val="000F542D"/>
    <w:rsid w:val="001112BF"/>
    <w:rsid w:val="0011285F"/>
    <w:rsid w:val="0012288B"/>
    <w:rsid w:val="00127081"/>
    <w:rsid w:val="00127ED4"/>
    <w:rsid w:val="001434E8"/>
    <w:rsid w:val="00171182"/>
    <w:rsid w:val="0017689B"/>
    <w:rsid w:val="001A1457"/>
    <w:rsid w:val="001B5A6B"/>
    <w:rsid w:val="001D566A"/>
    <w:rsid w:val="001D566E"/>
    <w:rsid w:val="001D7DC0"/>
    <w:rsid w:val="001E5C64"/>
    <w:rsid w:val="001F5F84"/>
    <w:rsid w:val="00203D14"/>
    <w:rsid w:val="0021379A"/>
    <w:rsid w:val="00215DAF"/>
    <w:rsid w:val="00220B0D"/>
    <w:rsid w:val="002255B6"/>
    <w:rsid w:val="002366A9"/>
    <w:rsid w:val="00237B51"/>
    <w:rsid w:val="0024568A"/>
    <w:rsid w:val="00245F8A"/>
    <w:rsid w:val="00251D2E"/>
    <w:rsid w:val="002900FF"/>
    <w:rsid w:val="00294D80"/>
    <w:rsid w:val="002C3484"/>
    <w:rsid w:val="002D7028"/>
    <w:rsid w:val="002E1F70"/>
    <w:rsid w:val="002E647B"/>
    <w:rsid w:val="00300FD2"/>
    <w:rsid w:val="0031462E"/>
    <w:rsid w:val="00316DB1"/>
    <w:rsid w:val="0032462E"/>
    <w:rsid w:val="00331889"/>
    <w:rsid w:val="00347C9B"/>
    <w:rsid w:val="00352E71"/>
    <w:rsid w:val="003555AE"/>
    <w:rsid w:val="00364726"/>
    <w:rsid w:val="003655EC"/>
    <w:rsid w:val="003825AB"/>
    <w:rsid w:val="003A6703"/>
    <w:rsid w:val="003A7E82"/>
    <w:rsid w:val="003B03C3"/>
    <w:rsid w:val="003B6EB6"/>
    <w:rsid w:val="003C77E5"/>
    <w:rsid w:val="003D0615"/>
    <w:rsid w:val="003D0D2A"/>
    <w:rsid w:val="003D2914"/>
    <w:rsid w:val="003D30BA"/>
    <w:rsid w:val="003D4F90"/>
    <w:rsid w:val="003E4E14"/>
    <w:rsid w:val="003F644D"/>
    <w:rsid w:val="003F6BA1"/>
    <w:rsid w:val="00403CC5"/>
    <w:rsid w:val="0043403B"/>
    <w:rsid w:val="00447FF8"/>
    <w:rsid w:val="00450283"/>
    <w:rsid w:val="0046580E"/>
    <w:rsid w:val="004A4F03"/>
    <w:rsid w:val="004B2B77"/>
    <w:rsid w:val="004B53D0"/>
    <w:rsid w:val="004B6D0E"/>
    <w:rsid w:val="004C5E05"/>
    <w:rsid w:val="004D09F2"/>
    <w:rsid w:val="004D0A27"/>
    <w:rsid w:val="004E51D0"/>
    <w:rsid w:val="004F171E"/>
    <w:rsid w:val="004F665C"/>
    <w:rsid w:val="00524897"/>
    <w:rsid w:val="0053018B"/>
    <w:rsid w:val="0053522F"/>
    <w:rsid w:val="005414ED"/>
    <w:rsid w:val="00547E9A"/>
    <w:rsid w:val="00550014"/>
    <w:rsid w:val="00573EC4"/>
    <w:rsid w:val="00587B57"/>
    <w:rsid w:val="005957BA"/>
    <w:rsid w:val="005A0655"/>
    <w:rsid w:val="005B42DF"/>
    <w:rsid w:val="005C214A"/>
    <w:rsid w:val="005D2F81"/>
    <w:rsid w:val="005D65FD"/>
    <w:rsid w:val="005E37C0"/>
    <w:rsid w:val="005F2149"/>
    <w:rsid w:val="00603126"/>
    <w:rsid w:val="0061132F"/>
    <w:rsid w:val="0061576A"/>
    <w:rsid w:val="00626240"/>
    <w:rsid w:val="006436DF"/>
    <w:rsid w:val="00647E98"/>
    <w:rsid w:val="006756AC"/>
    <w:rsid w:val="00693BEC"/>
    <w:rsid w:val="006A50CB"/>
    <w:rsid w:val="006A6466"/>
    <w:rsid w:val="006B382D"/>
    <w:rsid w:val="006C6321"/>
    <w:rsid w:val="006C6583"/>
    <w:rsid w:val="006D5B33"/>
    <w:rsid w:val="006E1D32"/>
    <w:rsid w:val="006E620C"/>
    <w:rsid w:val="006F0258"/>
    <w:rsid w:val="006F19E8"/>
    <w:rsid w:val="007053B9"/>
    <w:rsid w:val="00712A8A"/>
    <w:rsid w:val="0071590C"/>
    <w:rsid w:val="00716D9F"/>
    <w:rsid w:val="00726E5D"/>
    <w:rsid w:val="007328A9"/>
    <w:rsid w:val="007343F2"/>
    <w:rsid w:val="00734EDA"/>
    <w:rsid w:val="0074510B"/>
    <w:rsid w:val="00767640"/>
    <w:rsid w:val="00767F2F"/>
    <w:rsid w:val="00773381"/>
    <w:rsid w:val="0078133E"/>
    <w:rsid w:val="00792BB3"/>
    <w:rsid w:val="007A25DA"/>
    <w:rsid w:val="007B427D"/>
    <w:rsid w:val="007C0388"/>
    <w:rsid w:val="007C7AEF"/>
    <w:rsid w:val="007E03A8"/>
    <w:rsid w:val="007E2510"/>
    <w:rsid w:val="007F1C01"/>
    <w:rsid w:val="007F7556"/>
    <w:rsid w:val="0080455C"/>
    <w:rsid w:val="00805B8A"/>
    <w:rsid w:val="00805D24"/>
    <w:rsid w:val="0081574D"/>
    <w:rsid w:val="00816199"/>
    <w:rsid w:val="00835988"/>
    <w:rsid w:val="008528E5"/>
    <w:rsid w:val="00871BE0"/>
    <w:rsid w:val="008722A6"/>
    <w:rsid w:val="00873627"/>
    <w:rsid w:val="008845F8"/>
    <w:rsid w:val="00892480"/>
    <w:rsid w:val="00893509"/>
    <w:rsid w:val="00897C72"/>
    <w:rsid w:val="008A0782"/>
    <w:rsid w:val="008A5A41"/>
    <w:rsid w:val="008C4988"/>
    <w:rsid w:val="008D2CAD"/>
    <w:rsid w:val="008D6F40"/>
    <w:rsid w:val="008E20D5"/>
    <w:rsid w:val="008E3528"/>
    <w:rsid w:val="008E7CD4"/>
    <w:rsid w:val="008F513D"/>
    <w:rsid w:val="00905CFC"/>
    <w:rsid w:val="009114CA"/>
    <w:rsid w:val="00925115"/>
    <w:rsid w:val="00933A7C"/>
    <w:rsid w:val="00941BC4"/>
    <w:rsid w:val="00942F6F"/>
    <w:rsid w:val="00943B99"/>
    <w:rsid w:val="009441F1"/>
    <w:rsid w:val="00956AA3"/>
    <w:rsid w:val="00961F74"/>
    <w:rsid w:val="009703E1"/>
    <w:rsid w:val="009768A1"/>
    <w:rsid w:val="0098782A"/>
    <w:rsid w:val="009A784F"/>
    <w:rsid w:val="009B1F80"/>
    <w:rsid w:val="009C0F07"/>
    <w:rsid w:val="009C1318"/>
    <w:rsid w:val="009C1A9F"/>
    <w:rsid w:val="009D00E3"/>
    <w:rsid w:val="009D0BB8"/>
    <w:rsid w:val="009D32DA"/>
    <w:rsid w:val="00A077DF"/>
    <w:rsid w:val="00A321DA"/>
    <w:rsid w:val="00A329BF"/>
    <w:rsid w:val="00A413E7"/>
    <w:rsid w:val="00A45F9D"/>
    <w:rsid w:val="00A504EF"/>
    <w:rsid w:val="00A8182E"/>
    <w:rsid w:val="00AA2338"/>
    <w:rsid w:val="00AA2DB5"/>
    <w:rsid w:val="00AC0742"/>
    <w:rsid w:val="00AC256E"/>
    <w:rsid w:val="00AC40BE"/>
    <w:rsid w:val="00AF2F50"/>
    <w:rsid w:val="00AF5D0B"/>
    <w:rsid w:val="00B11800"/>
    <w:rsid w:val="00B11EC3"/>
    <w:rsid w:val="00B1246E"/>
    <w:rsid w:val="00B2538C"/>
    <w:rsid w:val="00B273D6"/>
    <w:rsid w:val="00B33AD9"/>
    <w:rsid w:val="00B41D13"/>
    <w:rsid w:val="00B63F22"/>
    <w:rsid w:val="00B734BF"/>
    <w:rsid w:val="00B73D6B"/>
    <w:rsid w:val="00B8012B"/>
    <w:rsid w:val="00B9090D"/>
    <w:rsid w:val="00B94991"/>
    <w:rsid w:val="00B94EE9"/>
    <w:rsid w:val="00BA30EE"/>
    <w:rsid w:val="00BA4AF7"/>
    <w:rsid w:val="00BD1B63"/>
    <w:rsid w:val="00BD26B7"/>
    <w:rsid w:val="00BF3910"/>
    <w:rsid w:val="00BF4C44"/>
    <w:rsid w:val="00C00288"/>
    <w:rsid w:val="00C023EE"/>
    <w:rsid w:val="00C11257"/>
    <w:rsid w:val="00C13ED8"/>
    <w:rsid w:val="00C26DEC"/>
    <w:rsid w:val="00C44FEB"/>
    <w:rsid w:val="00C51E43"/>
    <w:rsid w:val="00C570BD"/>
    <w:rsid w:val="00C727E0"/>
    <w:rsid w:val="00C816BF"/>
    <w:rsid w:val="00C8599B"/>
    <w:rsid w:val="00C862F8"/>
    <w:rsid w:val="00CB4617"/>
    <w:rsid w:val="00CB547D"/>
    <w:rsid w:val="00CC2476"/>
    <w:rsid w:val="00CC2C33"/>
    <w:rsid w:val="00CC5904"/>
    <w:rsid w:val="00CC7F9F"/>
    <w:rsid w:val="00CE1710"/>
    <w:rsid w:val="00CE6B45"/>
    <w:rsid w:val="00CF2C95"/>
    <w:rsid w:val="00CF370A"/>
    <w:rsid w:val="00D035CF"/>
    <w:rsid w:val="00D07F4A"/>
    <w:rsid w:val="00D17952"/>
    <w:rsid w:val="00D22687"/>
    <w:rsid w:val="00D26781"/>
    <w:rsid w:val="00D268CA"/>
    <w:rsid w:val="00D42A50"/>
    <w:rsid w:val="00D43141"/>
    <w:rsid w:val="00D51474"/>
    <w:rsid w:val="00D64C29"/>
    <w:rsid w:val="00D70A2E"/>
    <w:rsid w:val="00D80D39"/>
    <w:rsid w:val="00D91FD0"/>
    <w:rsid w:val="00D93815"/>
    <w:rsid w:val="00DB1176"/>
    <w:rsid w:val="00DB281F"/>
    <w:rsid w:val="00DB51A6"/>
    <w:rsid w:val="00DE3AA8"/>
    <w:rsid w:val="00DF0E22"/>
    <w:rsid w:val="00E1210C"/>
    <w:rsid w:val="00E3529F"/>
    <w:rsid w:val="00E81346"/>
    <w:rsid w:val="00E9077D"/>
    <w:rsid w:val="00E915ED"/>
    <w:rsid w:val="00E95E9D"/>
    <w:rsid w:val="00EC3F52"/>
    <w:rsid w:val="00EC54F1"/>
    <w:rsid w:val="00EC7AA2"/>
    <w:rsid w:val="00ED22BD"/>
    <w:rsid w:val="00F002C4"/>
    <w:rsid w:val="00F03F1E"/>
    <w:rsid w:val="00F10C62"/>
    <w:rsid w:val="00F14575"/>
    <w:rsid w:val="00F17826"/>
    <w:rsid w:val="00F210A8"/>
    <w:rsid w:val="00F441DF"/>
    <w:rsid w:val="00F543FB"/>
    <w:rsid w:val="00F60B0D"/>
    <w:rsid w:val="00F80FD1"/>
    <w:rsid w:val="00FA75C6"/>
    <w:rsid w:val="00FB270B"/>
    <w:rsid w:val="00FB5485"/>
    <w:rsid w:val="00FC0546"/>
    <w:rsid w:val="00FC1015"/>
    <w:rsid w:val="00FC10C5"/>
    <w:rsid w:val="00FC6D65"/>
    <w:rsid w:val="00FD5F08"/>
    <w:rsid w:val="00FE6C8A"/>
    <w:rsid w:val="00FF3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iPriority="0"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17"/>
    <w:pPr>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4617"/>
    <w:rPr>
      <w:sz w:val="20"/>
      <w:szCs w:val="20"/>
    </w:rPr>
  </w:style>
  <w:style w:type="character" w:customStyle="1" w:styleId="FootnoteTextChar">
    <w:name w:val="Footnote Text Char"/>
    <w:basedOn w:val="DefaultParagraphFont"/>
    <w:link w:val="FootnoteText"/>
    <w:uiPriority w:val="99"/>
    <w:rsid w:val="00CB4617"/>
  </w:style>
  <w:style w:type="character" w:styleId="FootnoteReference">
    <w:name w:val="footnote reference"/>
    <w:basedOn w:val="DefaultParagraphFont"/>
    <w:uiPriority w:val="99"/>
    <w:rsid w:val="00CB4617"/>
    <w:rPr>
      <w:vertAlign w:val="superscript"/>
    </w:rPr>
  </w:style>
  <w:style w:type="paragraph" w:styleId="ListParagraph">
    <w:name w:val="List Paragraph"/>
    <w:basedOn w:val="Normal"/>
    <w:uiPriority w:val="34"/>
    <w:qFormat/>
    <w:rsid w:val="00CB4617"/>
    <w:pPr>
      <w:ind w:left="720"/>
    </w:pPr>
  </w:style>
  <w:style w:type="character" w:styleId="CommentReference">
    <w:name w:val="annotation reference"/>
    <w:basedOn w:val="DefaultParagraphFont"/>
    <w:rsid w:val="00CB4617"/>
    <w:rPr>
      <w:sz w:val="16"/>
      <w:szCs w:val="16"/>
    </w:rPr>
  </w:style>
  <w:style w:type="paragraph" w:styleId="CommentText">
    <w:name w:val="annotation text"/>
    <w:basedOn w:val="Normal"/>
    <w:link w:val="CommentTextChar"/>
    <w:rsid w:val="00CB4617"/>
    <w:rPr>
      <w:sz w:val="20"/>
      <w:szCs w:val="20"/>
    </w:rPr>
  </w:style>
  <w:style w:type="character" w:customStyle="1" w:styleId="CommentTextChar">
    <w:name w:val="Comment Text Char"/>
    <w:basedOn w:val="DefaultParagraphFont"/>
    <w:link w:val="CommentText"/>
    <w:rsid w:val="00CB4617"/>
  </w:style>
  <w:style w:type="paragraph" w:styleId="CommentSubject">
    <w:name w:val="annotation subject"/>
    <w:basedOn w:val="CommentText"/>
    <w:next w:val="CommentText"/>
    <w:link w:val="CommentSubjectChar"/>
    <w:uiPriority w:val="99"/>
    <w:rsid w:val="00CB4617"/>
    <w:rPr>
      <w:b/>
      <w:bCs/>
    </w:rPr>
  </w:style>
  <w:style w:type="character" w:customStyle="1" w:styleId="CommentSubjectChar">
    <w:name w:val="Comment Subject Char"/>
    <w:basedOn w:val="CommentTextChar"/>
    <w:link w:val="CommentSubject"/>
    <w:uiPriority w:val="99"/>
    <w:rsid w:val="00CB4617"/>
    <w:rPr>
      <w:b/>
      <w:bCs/>
    </w:rPr>
  </w:style>
  <w:style w:type="paragraph" w:styleId="BalloonText">
    <w:name w:val="Balloon Text"/>
    <w:basedOn w:val="Normal"/>
    <w:link w:val="BalloonTextChar"/>
    <w:uiPriority w:val="99"/>
    <w:rsid w:val="00CB4617"/>
    <w:rPr>
      <w:rFonts w:ascii="Tahoma" w:hAnsi="Tahoma" w:cs="Tahoma"/>
      <w:sz w:val="16"/>
      <w:szCs w:val="16"/>
    </w:rPr>
  </w:style>
  <w:style w:type="character" w:customStyle="1" w:styleId="BalloonTextChar">
    <w:name w:val="Balloon Text Char"/>
    <w:basedOn w:val="DefaultParagraphFont"/>
    <w:link w:val="BalloonText"/>
    <w:uiPriority w:val="99"/>
    <w:rsid w:val="00CB4617"/>
    <w:rPr>
      <w:rFonts w:ascii="Tahoma" w:hAnsi="Tahoma" w:cs="Tahoma"/>
      <w:sz w:val="16"/>
      <w:szCs w:val="16"/>
    </w:rPr>
  </w:style>
  <w:style w:type="paragraph" w:styleId="Header">
    <w:name w:val="header"/>
    <w:basedOn w:val="Normal"/>
    <w:link w:val="HeaderChar"/>
    <w:uiPriority w:val="99"/>
    <w:rsid w:val="00CB4617"/>
    <w:pPr>
      <w:tabs>
        <w:tab w:val="center" w:pos="4844"/>
        <w:tab w:val="right" w:pos="9689"/>
      </w:tabs>
    </w:pPr>
  </w:style>
  <w:style w:type="character" w:customStyle="1" w:styleId="HeaderChar">
    <w:name w:val="Header Char"/>
    <w:basedOn w:val="DefaultParagraphFont"/>
    <w:link w:val="Header"/>
    <w:uiPriority w:val="99"/>
    <w:rsid w:val="00CB4617"/>
    <w:rPr>
      <w:sz w:val="24"/>
      <w:szCs w:val="24"/>
    </w:rPr>
  </w:style>
  <w:style w:type="paragraph" w:styleId="Footer">
    <w:name w:val="footer"/>
    <w:basedOn w:val="Normal"/>
    <w:link w:val="FooterChar"/>
    <w:uiPriority w:val="99"/>
    <w:rsid w:val="00CB4617"/>
    <w:pPr>
      <w:tabs>
        <w:tab w:val="center" w:pos="4844"/>
        <w:tab w:val="right" w:pos="9689"/>
      </w:tabs>
    </w:pPr>
  </w:style>
  <w:style w:type="character" w:customStyle="1" w:styleId="FooterChar">
    <w:name w:val="Footer Char"/>
    <w:basedOn w:val="DefaultParagraphFont"/>
    <w:link w:val="Footer"/>
    <w:uiPriority w:val="99"/>
    <w:rsid w:val="00CB4617"/>
    <w:rPr>
      <w:sz w:val="24"/>
      <w:szCs w:val="24"/>
    </w:rPr>
  </w:style>
  <w:style w:type="paragraph" w:styleId="Revision">
    <w:name w:val="Revision"/>
    <w:hidden/>
    <w:uiPriority w:val="99"/>
    <w:rsid w:val="00CB4617"/>
    <w:pPr>
      <w:autoSpaceDE w:val="0"/>
      <w:autoSpaceDN w:val="0"/>
    </w:pPr>
    <w:rPr>
      <w:rFonts w:ascii="Times New Roman" w:hAnsi="Times New Roman"/>
      <w:sz w:val="24"/>
      <w:szCs w:val="24"/>
      <w:lang w:val="en-US"/>
    </w:rPr>
  </w:style>
  <w:style w:type="paragraph" w:customStyle="1" w:styleId="Default">
    <w:name w:val="Default"/>
    <w:uiPriority w:val="99"/>
    <w:rsid w:val="00CB4617"/>
    <w:pPr>
      <w:autoSpaceDE w:val="0"/>
      <w:autoSpaceDN w:val="0"/>
    </w:pPr>
    <w:rPr>
      <w:rFonts w:ascii="Times New Roman" w:hAnsi="Times New Roman"/>
      <w:color w:val="000000"/>
      <w:sz w:val="24"/>
      <w:szCs w:val="24"/>
      <w:lang w:val="en-US"/>
    </w:rPr>
  </w:style>
  <w:style w:type="character" w:styleId="Hyperlink">
    <w:name w:val="Hyperlink"/>
    <w:basedOn w:val="DefaultParagraphFont"/>
    <w:uiPriority w:val="99"/>
    <w:rsid w:val="00CB4617"/>
    <w:rPr>
      <w:color w:val="0000FF"/>
      <w:u w:val="single"/>
    </w:rPr>
  </w:style>
  <w:style w:type="paragraph" w:styleId="NormalWeb">
    <w:name w:val="Normal (Web)"/>
    <w:basedOn w:val="Normal"/>
    <w:uiPriority w:val="99"/>
    <w:semiHidden/>
    <w:unhideWhenUsed/>
    <w:rsid w:val="00447FF8"/>
    <w:pPr>
      <w:autoSpaceDE/>
      <w:autoSpaceDN/>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447FF8"/>
    <w:rPr>
      <w:b/>
      <w:bCs/>
    </w:rPr>
  </w:style>
  <w:style w:type="paragraph" w:styleId="EndnoteText">
    <w:name w:val="endnote text"/>
    <w:basedOn w:val="Normal"/>
    <w:link w:val="EndnoteTextChar"/>
    <w:uiPriority w:val="99"/>
    <w:semiHidden/>
    <w:unhideWhenUsed/>
    <w:rsid w:val="00EC7AA2"/>
    <w:rPr>
      <w:sz w:val="20"/>
      <w:szCs w:val="20"/>
    </w:rPr>
  </w:style>
  <w:style w:type="character" w:customStyle="1" w:styleId="EndnoteTextChar">
    <w:name w:val="Endnote Text Char"/>
    <w:basedOn w:val="DefaultParagraphFont"/>
    <w:link w:val="EndnoteText"/>
    <w:uiPriority w:val="99"/>
    <w:semiHidden/>
    <w:rsid w:val="00EC7AA2"/>
    <w:rPr>
      <w:rFonts w:ascii="Times New Roman" w:hAnsi="Times New Roman"/>
      <w:sz w:val="20"/>
      <w:szCs w:val="20"/>
      <w:lang w:val="en-US"/>
    </w:rPr>
  </w:style>
  <w:style w:type="character" w:styleId="EndnoteReference">
    <w:name w:val="endnote reference"/>
    <w:basedOn w:val="DefaultParagraphFont"/>
    <w:uiPriority w:val="99"/>
    <w:semiHidden/>
    <w:unhideWhenUsed/>
    <w:rsid w:val="00EC7AA2"/>
    <w:rPr>
      <w:vertAlign w:val="superscript"/>
    </w:rPr>
  </w:style>
  <w:style w:type="character" w:styleId="FollowedHyperlink">
    <w:name w:val="FollowedHyperlink"/>
    <w:basedOn w:val="DefaultParagraphFont"/>
    <w:uiPriority w:val="99"/>
    <w:semiHidden/>
    <w:unhideWhenUsed/>
    <w:rsid w:val="00F44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17"/>
    <w:pPr>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B4617"/>
    <w:rPr>
      <w:sz w:val="20"/>
      <w:szCs w:val="20"/>
    </w:rPr>
  </w:style>
  <w:style w:type="character" w:customStyle="1" w:styleId="FootnoteTextChar">
    <w:name w:val="Текст сноски Знак"/>
    <w:basedOn w:val="DefaultParagraphFont"/>
    <w:link w:val="FootnoteText"/>
    <w:uiPriority w:val="99"/>
    <w:rsid w:val="00CB4617"/>
  </w:style>
  <w:style w:type="character" w:styleId="FootnoteReference">
    <w:name w:val="footnote reference"/>
    <w:basedOn w:val="DefaultParagraphFont"/>
    <w:uiPriority w:val="99"/>
    <w:rsid w:val="00CB4617"/>
    <w:rPr>
      <w:vertAlign w:val="superscript"/>
    </w:rPr>
  </w:style>
  <w:style w:type="paragraph" w:styleId="ListParagraph">
    <w:name w:val="List Paragraph"/>
    <w:basedOn w:val="Normal"/>
    <w:uiPriority w:val="34"/>
    <w:qFormat/>
    <w:rsid w:val="00CB4617"/>
    <w:pPr>
      <w:ind w:left="720"/>
    </w:pPr>
  </w:style>
  <w:style w:type="character" w:styleId="CommentReference">
    <w:name w:val="annotation reference"/>
    <w:basedOn w:val="DefaultParagraphFont"/>
    <w:rsid w:val="00CB4617"/>
    <w:rPr>
      <w:sz w:val="16"/>
      <w:szCs w:val="16"/>
    </w:rPr>
  </w:style>
  <w:style w:type="paragraph" w:styleId="CommentText">
    <w:name w:val="annotation text"/>
    <w:basedOn w:val="Normal"/>
    <w:link w:val="CommentTextChar"/>
    <w:rsid w:val="00CB4617"/>
    <w:rPr>
      <w:sz w:val="20"/>
      <w:szCs w:val="20"/>
    </w:rPr>
  </w:style>
  <w:style w:type="character" w:customStyle="1" w:styleId="CommentTextChar">
    <w:name w:val="Текст примечания Знак"/>
    <w:basedOn w:val="DefaultParagraphFont"/>
    <w:link w:val="CommentText"/>
    <w:rsid w:val="00CB4617"/>
  </w:style>
  <w:style w:type="paragraph" w:styleId="CommentSubject">
    <w:name w:val="annotation subject"/>
    <w:basedOn w:val="CommentText"/>
    <w:next w:val="CommentText"/>
    <w:link w:val="CommentSubjectChar"/>
    <w:uiPriority w:val="99"/>
    <w:rsid w:val="00CB4617"/>
    <w:rPr>
      <w:b/>
      <w:bCs/>
    </w:rPr>
  </w:style>
  <w:style w:type="character" w:customStyle="1" w:styleId="CommentSubjectChar">
    <w:name w:val="Тема примечания Знак"/>
    <w:basedOn w:val="CommentTextChar"/>
    <w:link w:val="CommentSubject"/>
    <w:uiPriority w:val="99"/>
    <w:rsid w:val="00CB4617"/>
    <w:rPr>
      <w:b/>
      <w:bCs/>
    </w:rPr>
  </w:style>
  <w:style w:type="paragraph" w:styleId="BalloonText">
    <w:name w:val="Balloon Text"/>
    <w:basedOn w:val="Normal"/>
    <w:link w:val="BalloonTextChar"/>
    <w:uiPriority w:val="99"/>
    <w:rsid w:val="00CB4617"/>
    <w:rPr>
      <w:rFonts w:ascii="Tahoma" w:hAnsi="Tahoma" w:cs="Tahoma"/>
      <w:sz w:val="16"/>
      <w:szCs w:val="16"/>
    </w:rPr>
  </w:style>
  <w:style w:type="character" w:customStyle="1" w:styleId="BalloonTextChar">
    <w:name w:val="Текст выноски Знак"/>
    <w:basedOn w:val="DefaultParagraphFont"/>
    <w:link w:val="BalloonText"/>
    <w:uiPriority w:val="99"/>
    <w:rsid w:val="00CB4617"/>
    <w:rPr>
      <w:rFonts w:ascii="Tahoma" w:hAnsi="Tahoma" w:cs="Tahoma"/>
      <w:sz w:val="16"/>
      <w:szCs w:val="16"/>
    </w:rPr>
  </w:style>
  <w:style w:type="paragraph" w:styleId="Header">
    <w:name w:val="header"/>
    <w:basedOn w:val="Normal"/>
    <w:link w:val="HeaderChar"/>
    <w:uiPriority w:val="99"/>
    <w:rsid w:val="00CB4617"/>
    <w:pPr>
      <w:tabs>
        <w:tab w:val="center" w:pos="4844"/>
        <w:tab w:val="right" w:pos="9689"/>
      </w:tabs>
    </w:pPr>
  </w:style>
  <w:style w:type="character" w:customStyle="1" w:styleId="HeaderChar">
    <w:name w:val="Верхний колонтитул Знак"/>
    <w:basedOn w:val="DefaultParagraphFont"/>
    <w:link w:val="Header"/>
    <w:uiPriority w:val="99"/>
    <w:rsid w:val="00CB4617"/>
    <w:rPr>
      <w:sz w:val="24"/>
      <w:szCs w:val="24"/>
    </w:rPr>
  </w:style>
  <w:style w:type="paragraph" w:styleId="Footer">
    <w:name w:val="footer"/>
    <w:basedOn w:val="Normal"/>
    <w:link w:val="FooterChar"/>
    <w:uiPriority w:val="99"/>
    <w:rsid w:val="00CB4617"/>
    <w:pPr>
      <w:tabs>
        <w:tab w:val="center" w:pos="4844"/>
        <w:tab w:val="right" w:pos="9689"/>
      </w:tabs>
    </w:pPr>
  </w:style>
  <w:style w:type="character" w:customStyle="1" w:styleId="FooterChar">
    <w:name w:val="Нижний колонтитул Знак"/>
    <w:basedOn w:val="DefaultParagraphFont"/>
    <w:link w:val="Footer"/>
    <w:uiPriority w:val="99"/>
    <w:rsid w:val="00CB4617"/>
    <w:rPr>
      <w:sz w:val="24"/>
      <w:szCs w:val="24"/>
    </w:rPr>
  </w:style>
  <w:style w:type="paragraph" w:styleId="Revision">
    <w:name w:val="Revision"/>
    <w:hidden/>
    <w:uiPriority w:val="99"/>
    <w:rsid w:val="00CB4617"/>
    <w:pPr>
      <w:autoSpaceDE w:val="0"/>
      <w:autoSpaceDN w:val="0"/>
    </w:pPr>
    <w:rPr>
      <w:rFonts w:ascii="Times New Roman" w:hAnsi="Times New Roman"/>
      <w:sz w:val="24"/>
      <w:szCs w:val="24"/>
      <w:lang w:val="en-US"/>
    </w:rPr>
  </w:style>
  <w:style w:type="paragraph" w:customStyle="1" w:styleId="Default">
    <w:name w:val="Default"/>
    <w:uiPriority w:val="99"/>
    <w:rsid w:val="00CB4617"/>
    <w:pPr>
      <w:autoSpaceDE w:val="0"/>
      <w:autoSpaceDN w:val="0"/>
    </w:pPr>
    <w:rPr>
      <w:rFonts w:ascii="Times New Roman" w:hAnsi="Times New Roman"/>
      <w:color w:val="000000"/>
      <w:sz w:val="24"/>
      <w:szCs w:val="24"/>
      <w:lang w:val="en-US"/>
    </w:rPr>
  </w:style>
  <w:style w:type="character" w:styleId="Hyperlink">
    <w:name w:val="Hyperlink"/>
    <w:basedOn w:val="DefaultParagraphFont"/>
    <w:uiPriority w:val="99"/>
    <w:rsid w:val="00CB4617"/>
    <w:rPr>
      <w:color w:val="0000FF"/>
      <w:u w:val="single"/>
    </w:rPr>
  </w:style>
  <w:style w:type="paragraph" w:styleId="NormalWeb">
    <w:name w:val="Normal (Web)"/>
    <w:basedOn w:val="Normal"/>
    <w:uiPriority w:val="99"/>
    <w:semiHidden/>
    <w:unhideWhenUsed/>
    <w:rsid w:val="00447FF8"/>
    <w:pPr>
      <w:autoSpaceDE/>
      <w:autoSpaceDN/>
      <w:spacing w:before="100" w:beforeAutospacing="1" w:after="100" w:afterAutospacing="1"/>
    </w:pPr>
    <w:rPr>
      <w:rFonts w:eastAsia="Times New Roman" w:cs="Times New Roman"/>
      <w:lang w:eastAsia="en-US"/>
    </w:rPr>
  </w:style>
  <w:style w:type="character" w:styleId="Strong">
    <w:name w:val="Strong"/>
    <w:basedOn w:val="DefaultParagraphFont"/>
    <w:uiPriority w:val="22"/>
    <w:qFormat/>
    <w:rsid w:val="00447FF8"/>
    <w:rPr>
      <w:b/>
      <w:bCs/>
    </w:rPr>
  </w:style>
  <w:style w:type="paragraph" w:styleId="EndnoteText">
    <w:name w:val="endnote text"/>
    <w:basedOn w:val="Normal"/>
    <w:link w:val="EndnoteTextChar"/>
    <w:uiPriority w:val="99"/>
    <w:semiHidden/>
    <w:unhideWhenUsed/>
    <w:rsid w:val="00EC7AA2"/>
    <w:rPr>
      <w:sz w:val="20"/>
      <w:szCs w:val="20"/>
    </w:rPr>
  </w:style>
  <w:style w:type="character" w:customStyle="1" w:styleId="EndnoteTextChar">
    <w:name w:val="Текст концевой сноски Знак"/>
    <w:basedOn w:val="DefaultParagraphFont"/>
    <w:link w:val="EndnoteText"/>
    <w:uiPriority w:val="99"/>
    <w:semiHidden/>
    <w:rsid w:val="00EC7AA2"/>
    <w:rPr>
      <w:rFonts w:ascii="Times New Roman" w:hAnsi="Times New Roman"/>
      <w:sz w:val="20"/>
      <w:szCs w:val="20"/>
      <w:lang w:val="en-US"/>
    </w:rPr>
  </w:style>
  <w:style w:type="character" w:styleId="EndnoteReference">
    <w:name w:val="endnote reference"/>
    <w:basedOn w:val="DefaultParagraphFont"/>
    <w:uiPriority w:val="99"/>
    <w:semiHidden/>
    <w:unhideWhenUsed/>
    <w:rsid w:val="00EC7AA2"/>
    <w:rPr>
      <w:vertAlign w:val="superscript"/>
    </w:rPr>
  </w:style>
  <w:style w:type="character" w:styleId="FollowedHyperlink">
    <w:name w:val="FollowedHyperlink"/>
    <w:basedOn w:val="DefaultParagraphFont"/>
    <w:uiPriority w:val="99"/>
    <w:semiHidden/>
    <w:unhideWhenUsed/>
    <w:rsid w:val="00F441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tranet.worldbank.org/WBSITE/INTRANET/UNITS/INTOPCS/0,,contentMDK:23145778~pagePK:51455324~piPK:51455326~theSitePK:380832,00.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orldbank.org/WBSITE/INTRANET/UNITS/INTOPCS/INTINVLENDING/0,,contentMDK:23145742~pagePK:64137152~piPK:64136883~theSitePK:388707,0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worldbank.org/WBSITE/INTRANET/OPSMANUAL/0,,contentMDK:21831242~menuPK:64857201~pagePK:51457169~piPK:51457175~theSitePK:210385,00.html" TargetMode="External"/><Relationship Id="rId4" Type="http://schemas.openxmlformats.org/officeDocument/2006/relationships/styles" Target="styles.xml"/><Relationship Id="rId9" Type="http://schemas.openxmlformats.org/officeDocument/2006/relationships/hyperlink" Target="http://intranet.worldbank.org/WBSITE/INTRANET/OPSMANUAL/0,,contentMDK:21833095~menuPK:51456940~pagePK:51457169~piPK:51457175~theSitePK:210385,0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C315-5833-4134-9843-C76211B057ED}">
  <ds:schemaRefs>
    <ds:schemaRef ds:uri="http://schemas.openxmlformats.org/officeDocument/2006/bibliography"/>
  </ds:schemaRefs>
</ds:datastoreItem>
</file>

<file path=customXml/itemProps2.xml><?xml version="1.0" encoding="utf-8"?>
<ds:datastoreItem xmlns:ds="http://schemas.openxmlformats.org/officeDocument/2006/customXml" ds:itemID="{3F18079C-F834-4226-9A8D-951312EC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2288</Words>
  <Characters>13583</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MULTI-DONOR PROGRAMMATIC TRUST FUND for Europe and Central Asia Region Capacity Development</vt:lpstr>
      <vt:lpstr>MULTI-DONOR PROGRAMMATIC TRUST FUND for Europe and Central Asia Region Capacity Development</vt:lpstr>
    </vt:vector>
  </TitlesOfParts>
  <Company>The World Bank Group</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MULTI-DONOR PROGRAMMATIC TRUST FUND for Europe and Central Asia Region Capacity Development</dc:title>
  <dc:creator>Keta Ruiz</dc:creator>
  <cp:lastModifiedBy>Keta Ruiz</cp:lastModifiedBy>
  <cp:revision>3</cp:revision>
  <cp:lastPrinted>2011-03-22T10:50:00Z</cp:lastPrinted>
  <dcterms:created xsi:type="dcterms:W3CDTF">2013-04-09T23:59:00Z</dcterms:created>
  <dcterms:modified xsi:type="dcterms:W3CDTF">2013-04-10T00:05:00Z</dcterms:modified>
</cp:coreProperties>
</file>